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CFA9" w14:textId="77777777" w:rsidR="007A22BC" w:rsidRDefault="007A22BC" w:rsidP="00687CC0">
      <w:pPr>
        <w:jc w:val="center"/>
        <w:rPr>
          <w:rFonts w:ascii="AR P丸ゴシック体M" w:eastAsia="AR P丸ゴシック体M" w:hAnsi="AR P丸ゴシック体M"/>
          <w:sz w:val="40"/>
          <w:szCs w:val="40"/>
        </w:rPr>
      </w:pPr>
      <w:r>
        <w:rPr>
          <w:rFonts w:ascii="AR P丸ゴシック体M" w:eastAsia="AR P丸ゴシック体M" w:hAnsi="AR P丸ゴシック体M" w:hint="eastAsia"/>
          <w:sz w:val="40"/>
          <w:szCs w:val="40"/>
        </w:rPr>
        <w:t>【合格への法則】</w:t>
      </w:r>
    </w:p>
    <w:p w14:paraId="7310CBDE" w14:textId="5D4BB0F0" w:rsidR="007A22BC" w:rsidRDefault="007A22BC" w:rsidP="00687CC0">
      <w:pPr>
        <w:pStyle w:val="a3"/>
        <w:spacing w:line="480" w:lineRule="auto"/>
        <w:ind w:leftChars="0" w:left="600"/>
        <w:jc w:val="center"/>
        <w:rPr>
          <w:rFonts w:ascii="AR PＰＯＰ体B" w:eastAsia="AR PＰＯＰ体B" w:hAnsi="AR PＰＯＰ体B"/>
          <w:sz w:val="32"/>
          <w:szCs w:val="32"/>
        </w:rPr>
      </w:pPr>
      <w:r w:rsidRPr="007A22BC">
        <w:rPr>
          <w:rFonts w:ascii="AR PＰＯＰ体B" w:eastAsia="AR PＰＯＰ体B" w:hAnsi="AR PＰＯＰ体B" w:hint="eastAsia"/>
          <w:sz w:val="32"/>
          <w:szCs w:val="32"/>
        </w:rPr>
        <w:t>共通テスト英語の攻略</w:t>
      </w:r>
    </w:p>
    <w:p w14:paraId="2829A222" w14:textId="17E755BD" w:rsidR="007A22BC" w:rsidRDefault="007A22BC" w:rsidP="007A22BC">
      <w:pPr>
        <w:pStyle w:val="a3"/>
        <w:spacing w:line="480" w:lineRule="auto"/>
        <w:ind w:leftChars="0" w:left="600" w:firstLineChars="100" w:firstLine="240"/>
        <w:jc w:val="left"/>
        <w:rPr>
          <w:rFonts w:ascii="AR PＰＯＰ体B" w:eastAsia="AR PＰＯＰ体B" w:hAnsi="AR PＰＯＰ体B"/>
          <w:sz w:val="24"/>
          <w:szCs w:val="24"/>
        </w:rPr>
      </w:pPr>
      <w:r>
        <w:rPr>
          <w:rFonts w:ascii="AR PＰＯＰ体B" w:eastAsia="AR PＰＯＰ体B" w:hAnsi="AR PＰＯＰ体B" w:hint="eastAsia"/>
          <w:sz w:val="24"/>
          <w:szCs w:val="24"/>
        </w:rPr>
        <w:t>共通テスト英語のr</w:t>
      </w:r>
      <w:r>
        <w:rPr>
          <w:rFonts w:ascii="AR PＰＯＰ体B" w:eastAsia="AR PＰＯＰ体B" w:hAnsi="AR PＰＯＰ体B"/>
          <w:sz w:val="24"/>
          <w:szCs w:val="24"/>
        </w:rPr>
        <w:t>eading</w:t>
      </w:r>
      <w:r>
        <w:rPr>
          <w:rFonts w:ascii="AR PＰＯＰ体B" w:eastAsia="AR PＰＯＰ体B" w:hAnsi="AR PＰＯＰ体B" w:hint="eastAsia"/>
          <w:sz w:val="24"/>
          <w:szCs w:val="24"/>
        </w:rPr>
        <w:t>では「英文解釈力」と「情報整理力」、「言い換えの把握力」が試されており、［解く際</w:t>
      </w:r>
      <w:r w:rsidR="009A5F34">
        <w:rPr>
          <w:rFonts w:ascii="AR PＰＯＰ体B" w:eastAsia="AR PＰＯＰ体B" w:hAnsi="AR PＰＯＰ体B" w:hint="eastAsia"/>
          <w:sz w:val="24"/>
          <w:szCs w:val="24"/>
        </w:rPr>
        <w:t>は</w:t>
      </w:r>
      <w:r w:rsidR="0057195A">
        <w:rPr>
          <w:rFonts w:ascii="AR PＰＯＰ体B" w:eastAsia="AR PＰＯＰ体B" w:hAnsi="AR PＰＯＰ体B" w:hint="eastAsia"/>
          <w:sz w:val="24"/>
          <w:szCs w:val="24"/>
        </w:rPr>
        <w:t>配点の高い第6問から解くべき］である。焦らず解けば、配転が高い分精神的に落ち着く。また問題を解くには設問を先に読み、次いで本文を読み、問題の要求を意識しながら答えとなる該当部分を素早く読み取るのが重要となる。共通テストは本文に記述のないものが選択肢に</w:t>
      </w:r>
      <w:r w:rsidR="00687CC0">
        <w:rPr>
          <w:rFonts w:ascii="AR PＰＯＰ体B" w:eastAsia="AR PＰＯＰ体B" w:hAnsi="AR PＰＯＰ体B" w:hint="eastAsia"/>
          <w:sz w:val="24"/>
          <w:szCs w:val="24"/>
        </w:rPr>
        <w:t>なっている</w:t>
      </w:r>
      <w:r w:rsidR="0057195A">
        <w:rPr>
          <w:rFonts w:ascii="AR PＰＯＰ体B" w:eastAsia="AR PＰＯＰ体B" w:hAnsi="AR PＰＯＰ体B" w:hint="eastAsia"/>
          <w:sz w:val="24"/>
          <w:szCs w:val="24"/>
        </w:rPr>
        <w:t>ことが多く、本文全体に問題意識を持ちながら目を通すこと</w:t>
      </w:r>
      <w:r w:rsidR="00687CC0">
        <w:rPr>
          <w:rFonts w:ascii="AR PＰＯＰ体B" w:eastAsia="AR PＰＯＰ体B" w:hAnsi="AR PＰＯＰ体B" w:hint="eastAsia"/>
          <w:sz w:val="24"/>
          <w:szCs w:val="24"/>
        </w:rPr>
        <w:t>も</w:t>
      </w:r>
      <w:r w:rsidR="0057195A">
        <w:rPr>
          <w:rFonts w:ascii="AR PＰＯＰ体B" w:eastAsia="AR PＰＯＰ体B" w:hAnsi="AR PＰＯＰ体B" w:hint="eastAsia"/>
          <w:sz w:val="24"/>
          <w:szCs w:val="24"/>
        </w:rPr>
        <w:t>必要となる。</w:t>
      </w:r>
    </w:p>
    <w:p w14:paraId="129C6459" w14:textId="3C14AAD8" w:rsidR="0057195A" w:rsidRPr="007A22BC" w:rsidRDefault="0057195A" w:rsidP="007A22BC">
      <w:pPr>
        <w:pStyle w:val="a3"/>
        <w:spacing w:line="480" w:lineRule="auto"/>
        <w:ind w:leftChars="0" w:left="600" w:firstLineChars="100" w:firstLine="240"/>
        <w:jc w:val="left"/>
        <w:rPr>
          <w:rFonts w:ascii="AR PＰＯＰ体B" w:eastAsia="AR PＰＯＰ体B" w:hAnsi="AR PＰＯＰ体B"/>
          <w:sz w:val="24"/>
          <w:szCs w:val="24"/>
        </w:rPr>
      </w:pPr>
      <w:r>
        <w:rPr>
          <w:rFonts w:ascii="AR PＰＯＰ体B" w:eastAsia="AR PＰＯＰ体B" w:hAnsi="AR PＰＯＰ体B" w:hint="eastAsia"/>
          <w:sz w:val="24"/>
          <w:szCs w:val="24"/>
        </w:rPr>
        <w:t>構文・文法・単語をバランスよく身につきながら精読をし、ある程度どのような文でも読める力を身につける。それが出来たら、次にセンターの過去問を都市量をこなすべきである。センター問題・共通テストの長文で覚えていなかった単語があったら</w:t>
      </w:r>
      <w:r w:rsidR="00687CC0">
        <w:rPr>
          <w:rFonts w:ascii="AR PＰＯＰ体B" w:eastAsia="AR PＰＯＰ体B" w:hAnsi="AR PＰＯＰ体B" w:hint="eastAsia"/>
          <w:sz w:val="24"/>
          <w:szCs w:val="24"/>
        </w:rPr>
        <w:t>速やかに意識を高めその場で覚えきることが非常に大切である。</w:t>
      </w:r>
    </w:p>
    <w:p w14:paraId="71EDF8C3" w14:textId="77777777" w:rsidR="00687CC0" w:rsidRDefault="00687CC0" w:rsidP="007A22BC">
      <w:pPr>
        <w:pStyle w:val="a3"/>
        <w:spacing w:line="480" w:lineRule="auto"/>
        <w:ind w:leftChars="0" w:left="600"/>
        <w:jc w:val="center"/>
        <w:rPr>
          <w:rFonts w:ascii="AR PＰＯＰ体B" w:eastAsia="AR PＰＯＰ体B" w:hAnsi="AR PＰＯＰ体B"/>
          <w:sz w:val="32"/>
          <w:szCs w:val="32"/>
          <w:bdr w:val="single" w:sz="4" w:space="0" w:color="auto" w:frame="1"/>
          <w:shd w:val="pct15" w:color="auto" w:fill="FFFFFF"/>
        </w:rPr>
      </w:pPr>
    </w:p>
    <w:p w14:paraId="65641770" w14:textId="77777777" w:rsidR="00687CC0" w:rsidRDefault="00687CC0" w:rsidP="007A22BC">
      <w:pPr>
        <w:pStyle w:val="a3"/>
        <w:spacing w:line="480" w:lineRule="auto"/>
        <w:ind w:leftChars="0" w:left="600"/>
        <w:jc w:val="center"/>
        <w:rPr>
          <w:rFonts w:ascii="AR PＰＯＰ体B" w:eastAsia="AR PＰＯＰ体B" w:hAnsi="AR PＰＯＰ体B"/>
          <w:sz w:val="32"/>
          <w:szCs w:val="32"/>
          <w:bdr w:val="single" w:sz="4" w:space="0" w:color="auto" w:frame="1"/>
          <w:shd w:val="pct15" w:color="auto" w:fill="FFFFFF"/>
        </w:rPr>
      </w:pPr>
    </w:p>
    <w:p w14:paraId="666A00C7" w14:textId="458D4E39" w:rsidR="007A22BC" w:rsidRDefault="007A22BC" w:rsidP="007A22BC">
      <w:pPr>
        <w:pStyle w:val="a3"/>
        <w:spacing w:line="480" w:lineRule="auto"/>
        <w:ind w:leftChars="0" w:left="600"/>
        <w:jc w:val="center"/>
        <w:rPr>
          <w:rFonts w:ascii="AR PＰＯＰ体B" w:eastAsia="AR PＰＯＰ体B" w:hAnsi="AR PＰＯＰ体B"/>
          <w:sz w:val="32"/>
          <w:szCs w:val="32"/>
          <w:bdr w:val="single" w:sz="4" w:space="0" w:color="auto" w:frame="1"/>
          <w:shd w:val="pct15" w:color="auto" w:fill="FFFFFF"/>
        </w:rPr>
      </w:pPr>
      <w:r>
        <w:rPr>
          <w:rFonts w:ascii="AR PＰＯＰ体B" w:eastAsia="AR PＰＯＰ体B" w:hAnsi="AR PＰＯＰ体B" w:hint="eastAsia"/>
          <w:sz w:val="32"/>
          <w:szCs w:val="32"/>
          <w:bdr w:val="single" w:sz="4" w:space="0" w:color="auto" w:frame="1"/>
          <w:shd w:val="pct15" w:color="auto" w:fill="FFFFFF"/>
        </w:rPr>
        <w:t>２０２</w:t>
      </w:r>
      <w:r w:rsidR="00435CCD">
        <w:rPr>
          <w:rFonts w:ascii="AR PＰＯＰ体B" w:eastAsia="AR PＰＯＰ体B" w:hAnsi="AR PＰＯＰ体B" w:hint="eastAsia"/>
          <w:sz w:val="32"/>
          <w:szCs w:val="32"/>
          <w:bdr w:val="single" w:sz="4" w:space="0" w:color="auto" w:frame="1"/>
          <w:shd w:val="pct15" w:color="auto" w:fill="FFFFFF"/>
        </w:rPr>
        <w:t>4</w:t>
      </w:r>
      <w:r>
        <w:rPr>
          <w:rFonts w:ascii="AR PＰＯＰ体B" w:eastAsia="AR PＰＯＰ体B" w:hAnsi="AR PＰＯＰ体B" w:hint="eastAsia"/>
          <w:sz w:val="32"/>
          <w:szCs w:val="32"/>
          <w:bdr w:val="single" w:sz="4" w:space="0" w:color="auto" w:frame="1"/>
          <w:shd w:val="pct15" w:color="auto" w:fill="FFFFFF"/>
        </w:rPr>
        <w:t xml:space="preserve">年度　</w:t>
      </w:r>
      <w:r w:rsidR="00435CCD">
        <w:rPr>
          <w:rFonts w:ascii="AR PＰＯＰ体B" w:eastAsia="AR PＰＯＰ体B" w:hAnsi="AR PＰＯＰ体B" w:hint="eastAsia"/>
          <w:sz w:val="32"/>
          <w:szCs w:val="32"/>
          <w:bdr w:val="single" w:sz="4" w:space="0" w:color="auto" w:frame="1"/>
          <w:shd w:val="pct15" w:color="auto" w:fill="FFFFFF"/>
        </w:rPr>
        <w:t>多摩高等予備校・相模原校(旧英数セミナー)</w:t>
      </w:r>
    </w:p>
    <w:p w14:paraId="0BACB953" w14:textId="3B1AF44C" w:rsidR="007A22BC" w:rsidRDefault="00435CCD" w:rsidP="007A22BC">
      <w:pPr>
        <w:pStyle w:val="a3"/>
        <w:spacing w:line="480" w:lineRule="auto"/>
        <w:ind w:leftChars="0" w:left="600"/>
        <w:jc w:val="center"/>
        <w:rPr>
          <w:rFonts w:ascii="AR PＰＯＰ体B" w:eastAsia="AR PＰＯＰ体B" w:hAnsi="AR PＰＯＰ体B"/>
          <w:sz w:val="32"/>
          <w:szCs w:val="32"/>
          <w:u w:val="single"/>
          <w:shd w:val="pct15" w:color="auto" w:fill="FFFFFF"/>
        </w:rPr>
      </w:pPr>
      <w:r>
        <w:rPr>
          <w:rFonts w:ascii="AR PＰＯＰ体B" w:eastAsia="AR PＰＯＰ体B" w:hAnsi="AR PＰＯＰ体B" w:hint="eastAsia"/>
          <w:sz w:val="32"/>
          <w:szCs w:val="32"/>
          <w:u w:val="single"/>
          <w:shd w:val="pct15" w:color="auto" w:fill="FFFFFF"/>
        </w:rPr>
        <w:t>2月5日(月)スタート</w:t>
      </w:r>
    </w:p>
    <w:p w14:paraId="7C4E4F42" w14:textId="77777777" w:rsidR="007A22BC" w:rsidRPr="00842509" w:rsidRDefault="007A22BC" w:rsidP="007A22BC">
      <w:pPr>
        <w:pStyle w:val="a3"/>
        <w:spacing w:line="480" w:lineRule="auto"/>
        <w:ind w:leftChars="0" w:left="600"/>
        <w:jc w:val="left"/>
        <w:rPr>
          <w:rFonts w:ascii="AR PＰＯＰ体B" w:eastAsia="AR PＰＯＰ体B" w:hAnsi="AR PＰＯＰ体B"/>
          <w:sz w:val="24"/>
          <w:szCs w:val="24"/>
        </w:rPr>
      </w:pPr>
      <w:r>
        <w:rPr>
          <w:rFonts w:ascii="AR PＰＯＰ体B" w:eastAsia="AR PＰＯＰ体B" w:hAnsi="AR PＰＯＰ体B" w:hint="eastAsia"/>
          <w:sz w:val="24"/>
          <w:szCs w:val="24"/>
        </w:rPr>
        <w:t>受講生のニーズに合わせて、低学年向きの「個別指導」、必勝を狙う受験生には「密度の高い集団授業」を提供します。</w:t>
      </w:r>
    </w:p>
    <w:p w14:paraId="07E8803A" w14:textId="77777777" w:rsidR="0077476B" w:rsidRPr="007A22BC" w:rsidRDefault="0077476B"/>
    <w:sectPr w:rsidR="0077476B" w:rsidRPr="007A22BC" w:rsidSect="00D04C1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AR PＰＯＰ体B">
    <w:panose1 w:val="040B08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BC"/>
    <w:rsid w:val="00435CCD"/>
    <w:rsid w:val="0057195A"/>
    <w:rsid w:val="00687CC0"/>
    <w:rsid w:val="0077476B"/>
    <w:rsid w:val="007A22BC"/>
    <w:rsid w:val="009A5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81ED64"/>
  <w15:chartTrackingRefBased/>
  <w15:docId w15:val="{2B2D28B3-EB39-43F4-A4AE-89B3F12D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2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2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淳一 庄司</dc:creator>
  <cp:keywords/>
  <dc:description/>
  <cp:lastModifiedBy>淳一 庄司</cp:lastModifiedBy>
  <cp:revision>2</cp:revision>
  <dcterms:created xsi:type="dcterms:W3CDTF">2023-12-17T01:04:00Z</dcterms:created>
  <dcterms:modified xsi:type="dcterms:W3CDTF">2024-01-13T08:25:00Z</dcterms:modified>
</cp:coreProperties>
</file>