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2D723" w14:textId="77777777" w:rsidR="0058195D" w:rsidRPr="0058195D" w:rsidRDefault="0058195D" w:rsidP="0058195D">
      <w:pPr>
        <w:widowControl/>
        <w:pBdr>
          <w:left w:val="single" w:sz="36" w:space="11" w:color="547BDB"/>
        </w:pBdr>
        <w:spacing w:before="600" w:after="300"/>
        <w:ind w:left="840"/>
        <w:jc w:val="left"/>
        <w:textAlignment w:val="baseline"/>
        <w:outlineLvl w:val="2"/>
        <w:rPr>
          <w:rFonts w:ascii="ＭＳ Ｐゴシック" w:eastAsia="ＭＳ Ｐゴシック" w:hAnsi="ＭＳ Ｐゴシック" w:cs="ＭＳ Ｐゴシック"/>
          <w:b/>
          <w:bCs/>
          <w:kern w:val="0"/>
          <w:sz w:val="27"/>
          <w:szCs w:val="27"/>
        </w:rPr>
      </w:pPr>
      <w:r w:rsidRPr="0058195D">
        <w:rPr>
          <w:rFonts w:ascii="ＭＳ Ｐゴシック" w:eastAsia="ＭＳ Ｐゴシック" w:hAnsi="ＭＳ Ｐゴシック" w:cs="ＭＳ Ｐゴシック"/>
          <w:b/>
          <w:bCs/>
          <w:kern w:val="0"/>
          <w:sz w:val="27"/>
          <w:szCs w:val="27"/>
        </w:rPr>
        <w:t>数学Ⅰ・数学Ａ学習アドバイス</w:t>
      </w:r>
    </w:p>
    <w:p w14:paraId="61D4088B" w14:textId="77777777" w:rsidR="0058195D" w:rsidRPr="0058195D" w:rsidRDefault="0058195D" w:rsidP="0058195D">
      <w:pPr>
        <w:widowControl/>
        <w:jc w:val="left"/>
        <w:textAlignment w:val="baseline"/>
        <w:rPr>
          <w:rFonts w:ascii="ＭＳ Ｐゴシック" w:eastAsia="ＭＳ Ｐゴシック" w:hAnsi="ＭＳ Ｐゴシック" w:cs="ＭＳ Ｐゴシック"/>
          <w:b/>
          <w:bCs/>
          <w:kern w:val="0"/>
          <w:szCs w:val="21"/>
        </w:rPr>
      </w:pPr>
      <w:r w:rsidRPr="0058195D">
        <w:rPr>
          <w:rFonts w:ascii="ＭＳ Ｐゴシック" w:eastAsia="ＭＳ Ｐゴシック" w:hAnsi="ＭＳ Ｐゴシック" w:cs="ＭＳ Ｐゴシック"/>
          <w:b/>
          <w:bCs/>
          <w:kern w:val="0"/>
          <w:szCs w:val="21"/>
        </w:rPr>
        <w:t>１．パターン学習の限界</w:t>
      </w:r>
    </w:p>
    <w:p w14:paraId="1E58AA7E" w14:textId="77777777" w:rsidR="0058195D" w:rsidRPr="0058195D" w:rsidRDefault="0058195D" w:rsidP="0058195D">
      <w:pPr>
        <w:widowControl/>
        <w:spacing w:before="120"/>
        <w:ind w:left="720"/>
        <w:jc w:val="left"/>
        <w:textAlignment w:val="baseline"/>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2023年度では、バスケットボールのシュートの軌道に関する問題が出題され、2022年度には図の縮尺に関する問題が出題されました。題材の多様化、融合問題の出題などにより、初見の問題に出会う可能性が高まり、パターン学習が今までより通用しなくなってきています。問題文から情報を抽出し、基本事項をもとに、考察していかなければなりません。そのためには基本事項を覚えているだけではなく、その内容をきちんと理解する必要があります。定理や公式の証明を学習することも有効です。</w:t>
      </w:r>
    </w:p>
    <w:p w14:paraId="4A917020" w14:textId="77777777" w:rsidR="0058195D" w:rsidRPr="0058195D" w:rsidRDefault="0058195D" w:rsidP="0058195D">
      <w:pPr>
        <w:widowControl/>
        <w:spacing w:before="240"/>
        <w:jc w:val="left"/>
        <w:textAlignment w:val="baseline"/>
        <w:rPr>
          <w:rFonts w:ascii="ＭＳ Ｐゴシック" w:eastAsia="ＭＳ Ｐゴシック" w:hAnsi="ＭＳ Ｐゴシック" w:cs="ＭＳ Ｐゴシック"/>
          <w:b/>
          <w:bCs/>
          <w:kern w:val="0"/>
          <w:szCs w:val="21"/>
        </w:rPr>
      </w:pPr>
      <w:r w:rsidRPr="0058195D">
        <w:rPr>
          <w:rFonts w:ascii="ＭＳ Ｐゴシック" w:eastAsia="ＭＳ Ｐゴシック" w:hAnsi="ＭＳ Ｐゴシック" w:cs="ＭＳ Ｐゴシック"/>
          <w:b/>
          <w:bCs/>
          <w:kern w:val="0"/>
          <w:szCs w:val="21"/>
        </w:rPr>
        <w:t>２．読解力の養成</w:t>
      </w:r>
    </w:p>
    <w:p w14:paraId="488758FC" w14:textId="77777777" w:rsidR="0058195D" w:rsidRPr="0058195D" w:rsidRDefault="0058195D" w:rsidP="0058195D">
      <w:pPr>
        <w:widowControl/>
        <w:spacing w:before="120"/>
        <w:ind w:left="720"/>
        <w:jc w:val="left"/>
        <w:textAlignment w:val="baseline"/>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問題文が長くなり、題材も多様化しています。そのため、センター試験のときよりもいろいろなテーマに対応できる読解力が必要です。そのような力は全教科で養うものであり、どの教科を学習するときもそのことを意識しましょう。特に理科は、問題文に数式、値、図が現れ、数学との結びつきが強いです。2022年度、2023年度ともに文系と理系の差が大きく開いた問題が見られました。</w:t>
      </w:r>
    </w:p>
    <w:p w14:paraId="0B6DA1D4" w14:textId="77777777" w:rsidR="0058195D" w:rsidRPr="0058195D" w:rsidRDefault="0058195D" w:rsidP="0058195D">
      <w:pPr>
        <w:widowControl/>
        <w:spacing w:before="240"/>
        <w:jc w:val="left"/>
        <w:textAlignment w:val="baseline"/>
        <w:rPr>
          <w:rFonts w:ascii="ＭＳ Ｐゴシック" w:eastAsia="ＭＳ Ｐゴシック" w:hAnsi="ＭＳ Ｐゴシック" w:cs="ＭＳ Ｐゴシック"/>
          <w:b/>
          <w:bCs/>
          <w:kern w:val="0"/>
          <w:szCs w:val="21"/>
        </w:rPr>
      </w:pPr>
      <w:r w:rsidRPr="0058195D">
        <w:rPr>
          <w:rFonts w:ascii="ＭＳ Ｐゴシック" w:eastAsia="ＭＳ Ｐゴシック" w:hAnsi="ＭＳ Ｐゴシック" w:cs="ＭＳ Ｐゴシック"/>
          <w:b/>
          <w:bCs/>
          <w:kern w:val="0"/>
          <w:szCs w:val="21"/>
        </w:rPr>
        <w:t>３．実戦力養成</w:t>
      </w:r>
    </w:p>
    <w:p w14:paraId="07E5F32C" w14:textId="77777777" w:rsidR="0058195D" w:rsidRPr="0058195D" w:rsidRDefault="0058195D" w:rsidP="0058195D">
      <w:pPr>
        <w:widowControl/>
        <w:spacing w:before="120"/>
        <w:ind w:left="720"/>
        <w:jc w:val="left"/>
        <w:textAlignment w:val="baseline"/>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基本事項の習得後は、実戦的な演習に移ることになりますが、まずは共通テストの過去問を解き、しっかりと分析しましょう。問われているものを理解し、実感することが対策のスタートです。その後は共通テスト形式の実戦的な問題集を用いることになりますが、センター試験の過去問を分野別に演習することも大切です。データの分析や数学Aの3分野はセンター試験との違いが少ないため特に有効です。また、共通テストではそれまでの解法を参考にして自力で解く設問が見られます。9割以上の高得点を狙う場合はそのような設問を正解する必要があり、一から自分で考える本格的な個別試験(2次試験)対策が有効です。</w:t>
      </w:r>
    </w:p>
    <w:p w14:paraId="1BAE9875" w14:textId="77777777" w:rsidR="0058195D" w:rsidRPr="0058195D" w:rsidRDefault="0058195D" w:rsidP="0058195D">
      <w:pPr>
        <w:widowControl/>
        <w:pBdr>
          <w:bottom w:val="single" w:sz="6" w:space="6" w:color="547BDB"/>
        </w:pBdr>
        <w:spacing w:before="600" w:after="300"/>
        <w:jc w:val="left"/>
        <w:textAlignment w:val="baseline"/>
        <w:outlineLvl w:val="1"/>
        <w:rPr>
          <w:rFonts w:ascii="ＭＳ Ｐゴシック" w:eastAsia="ＭＳ Ｐゴシック" w:hAnsi="ＭＳ Ｐゴシック" w:cs="ＭＳ Ｐゴシック"/>
          <w:b/>
          <w:bCs/>
          <w:color w:val="547BDB"/>
          <w:kern w:val="0"/>
          <w:sz w:val="36"/>
          <w:szCs w:val="36"/>
        </w:rPr>
      </w:pPr>
      <w:r w:rsidRPr="0058195D">
        <w:rPr>
          <w:rFonts w:ascii="ＭＳ Ｐゴシック" w:eastAsia="ＭＳ Ｐゴシック" w:hAnsi="ＭＳ Ｐゴシック" w:cs="ＭＳ Ｐゴシック"/>
          <w:b/>
          <w:bCs/>
          <w:color w:val="547BDB"/>
          <w:kern w:val="0"/>
          <w:sz w:val="36"/>
          <w:szCs w:val="36"/>
        </w:rPr>
        <w:t>2024年度共通テスト　問題構成と設問別分析</w:t>
      </w:r>
    </w:p>
    <w:p w14:paraId="141B8032" w14:textId="77777777" w:rsidR="0058195D" w:rsidRPr="0058195D" w:rsidRDefault="0058195D" w:rsidP="0058195D">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58195D">
        <w:rPr>
          <w:rFonts w:ascii="ＭＳ Ｐゴシック" w:eastAsia="ＭＳ Ｐゴシック" w:hAnsi="ＭＳ Ｐゴシック" w:cs="ＭＳ Ｐゴシック"/>
          <w:b/>
          <w:bCs/>
          <w:kern w:val="0"/>
          <w:sz w:val="27"/>
          <w:szCs w:val="27"/>
        </w:rPr>
        <w:t>問題構成</w:t>
      </w:r>
    </w:p>
    <w:tbl>
      <w:tblPr>
        <w:tblW w:w="11640" w:type="dxa"/>
        <w:shd w:val="clear" w:color="auto" w:fill="FFFFFF"/>
        <w:tblCellMar>
          <w:left w:w="0" w:type="dxa"/>
          <w:right w:w="0" w:type="dxa"/>
        </w:tblCellMar>
        <w:tblLook w:val="04A0" w:firstRow="1" w:lastRow="0" w:firstColumn="1" w:lastColumn="0" w:noHBand="0" w:noVBand="1"/>
      </w:tblPr>
      <w:tblGrid>
        <w:gridCol w:w="1124"/>
        <w:gridCol w:w="2713"/>
        <w:gridCol w:w="1125"/>
        <w:gridCol w:w="6678"/>
      </w:tblGrid>
      <w:tr w:rsidR="0058195D" w:rsidRPr="0058195D" w14:paraId="4CA94220" w14:textId="77777777" w:rsidTr="0058195D">
        <w:trPr>
          <w:tblHeader/>
        </w:trPr>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E11C0C6" w14:textId="77777777" w:rsidR="0058195D" w:rsidRPr="0058195D" w:rsidRDefault="0058195D" w:rsidP="0058195D">
            <w:pPr>
              <w:widowControl/>
              <w:jc w:val="center"/>
              <w:rPr>
                <w:rFonts w:ascii="ＭＳ Ｐゴシック" w:eastAsia="ＭＳ Ｐゴシック" w:hAnsi="ＭＳ Ｐゴシック" w:cs="ＭＳ Ｐゴシック"/>
                <w:b/>
                <w:bCs/>
                <w:color w:val="FFFFFF"/>
                <w:kern w:val="0"/>
                <w:szCs w:val="21"/>
              </w:rPr>
            </w:pPr>
            <w:r w:rsidRPr="0058195D">
              <w:rPr>
                <w:rFonts w:ascii="ＭＳ Ｐゴシック" w:eastAsia="ＭＳ Ｐゴシック" w:hAnsi="ＭＳ Ｐゴシック" w:cs="ＭＳ Ｐゴシック"/>
                <w:b/>
                <w:bCs/>
                <w:color w:val="FFFFFF"/>
                <w:kern w:val="0"/>
                <w:szCs w:val="21"/>
              </w:rPr>
              <w:t>大問</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0A1D5821" w14:textId="77777777" w:rsidR="0058195D" w:rsidRPr="0058195D" w:rsidRDefault="0058195D" w:rsidP="0058195D">
            <w:pPr>
              <w:widowControl/>
              <w:jc w:val="center"/>
              <w:rPr>
                <w:rFonts w:ascii="ＭＳ Ｐゴシック" w:eastAsia="ＭＳ Ｐゴシック" w:hAnsi="ＭＳ Ｐゴシック" w:cs="ＭＳ Ｐゴシック"/>
                <w:b/>
                <w:bCs/>
                <w:color w:val="FFFFFF"/>
                <w:kern w:val="0"/>
                <w:szCs w:val="21"/>
              </w:rPr>
            </w:pPr>
            <w:r w:rsidRPr="0058195D">
              <w:rPr>
                <w:rFonts w:ascii="ＭＳ Ｐゴシック" w:eastAsia="ＭＳ Ｐゴシック" w:hAnsi="ＭＳ Ｐゴシック" w:cs="ＭＳ Ｐゴシック"/>
                <w:b/>
                <w:bCs/>
                <w:color w:val="FFFFFF"/>
                <w:kern w:val="0"/>
                <w:szCs w:val="21"/>
              </w:rPr>
              <w:t>分野</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2CAA88E" w14:textId="77777777" w:rsidR="0058195D" w:rsidRPr="0058195D" w:rsidRDefault="0058195D" w:rsidP="0058195D">
            <w:pPr>
              <w:widowControl/>
              <w:jc w:val="center"/>
              <w:rPr>
                <w:rFonts w:ascii="ＭＳ Ｐゴシック" w:eastAsia="ＭＳ Ｐゴシック" w:hAnsi="ＭＳ Ｐゴシック" w:cs="ＭＳ Ｐゴシック"/>
                <w:b/>
                <w:bCs/>
                <w:color w:val="FFFFFF"/>
                <w:kern w:val="0"/>
                <w:szCs w:val="21"/>
              </w:rPr>
            </w:pPr>
            <w:r w:rsidRPr="0058195D">
              <w:rPr>
                <w:rFonts w:ascii="ＭＳ Ｐゴシック" w:eastAsia="ＭＳ Ｐゴシック" w:hAnsi="ＭＳ Ｐゴシック" w:cs="ＭＳ Ｐゴシック"/>
                <w:b/>
                <w:bCs/>
                <w:color w:val="FFFFFF"/>
                <w:kern w:val="0"/>
                <w:szCs w:val="21"/>
              </w:rPr>
              <w:t>配点</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3B11CC3" w14:textId="77777777" w:rsidR="0058195D" w:rsidRPr="0058195D" w:rsidRDefault="0058195D" w:rsidP="0058195D">
            <w:pPr>
              <w:widowControl/>
              <w:jc w:val="center"/>
              <w:rPr>
                <w:rFonts w:ascii="ＭＳ Ｐゴシック" w:eastAsia="ＭＳ Ｐゴシック" w:hAnsi="ＭＳ Ｐゴシック" w:cs="ＭＳ Ｐゴシック"/>
                <w:b/>
                <w:bCs/>
                <w:color w:val="FFFFFF"/>
                <w:kern w:val="0"/>
                <w:szCs w:val="21"/>
              </w:rPr>
            </w:pPr>
            <w:r w:rsidRPr="0058195D">
              <w:rPr>
                <w:rFonts w:ascii="ＭＳ Ｐゴシック" w:eastAsia="ＭＳ Ｐゴシック" w:hAnsi="ＭＳ Ｐゴシック" w:cs="ＭＳ Ｐゴシック"/>
                <w:b/>
                <w:bCs/>
                <w:color w:val="FFFFFF"/>
                <w:kern w:val="0"/>
                <w:szCs w:val="21"/>
              </w:rPr>
              <w:t>テーマ</w:t>
            </w:r>
          </w:p>
        </w:tc>
      </w:tr>
      <w:tr w:rsidR="0058195D" w:rsidRPr="0058195D" w14:paraId="6ABC899A" w14:textId="77777777" w:rsidTr="0058195D">
        <w:tc>
          <w:tcPr>
            <w:tcW w:w="0" w:type="auto"/>
            <w:vMerge w:val="restart"/>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145AA4F0" w14:textId="77777777" w:rsidR="0058195D" w:rsidRPr="0058195D" w:rsidRDefault="0058195D" w:rsidP="0058195D">
            <w:pPr>
              <w:widowControl/>
              <w:jc w:val="left"/>
              <w:rPr>
                <w:rFonts w:ascii="ＭＳ Ｐゴシック" w:eastAsia="ＭＳ Ｐゴシック" w:hAnsi="ＭＳ Ｐゴシック" w:cs="ＭＳ Ｐゴシック"/>
                <w:color w:val="FFFFFF"/>
                <w:kern w:val="0"/>
                <w:szCs w:val="21"/>
              </w:rPr>
            </w:pPr>
            <w:r w:rsidRPr="0058195D">
              <w:rPr>
                <w:rFonts w:ascii="ＭＳ Ｐゴシック" w:eastAsia="ＭＳ Ｐゴシック" w:hAnsi="ＭＳ Ｐゴシック" w:cs="ＭＳ Ｐゴシック"/>
                <w:color w:val="FFFFFF"/>
                <w:kern w:val="0"/>
                <w:szCs w:val="21"/>
              </w:rPr>
              <w:t>1</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74764075"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[1]数と式</w:t>
            </w:r>
          </w:p>
        </w:tc>
        <w:tc>
          <w:tcPr>
            <w:tcW w:w="0" w:type="auto"/>
            <w:vMerge w:val="restart"/>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793CE53"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30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C5F2FDF"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整数部分・小数部分</w:t>
            </w:r>
          </w:p>
        </w:tc>
      </w:tr>
      <w:tr w:rsidR="0058195D" w:rsidRPr="0058195D" w14:paraId="5E47C312" w14:textId="77777777" w:rsidTr="0058195D">
        <w:tc>
          <w:tcPr>
            <w:tcW w:w="0" w:type="auto"/>
            <w:vMerge/>
            <w:tcBorders>
              <w:top w:val="single" w:sz="6" w:space="0" w:color="7E9BE2"/>
              <w:left w:val="single" w:sz="6" w:space="0" w:color="7E9BE2"/>
              <w:bottom w:val="single" w:sz="6" w:space="0" w:color="7E9BE2"/>
              <w:right w:val="single" w:sz="6" w:space="0" w:color="7E9BE2"/>
            </w:tcBorders>
            <w:shd w:val="clear" w:color="auto" w:fill="auto"/>
            <w:vAlign w:val="bottom"/>
            <w:hideMark/>
          </w:tcPr>
          <w:p w14:paraId="5DF7C211" w14:textId="77777777" w:rsidR="0058195D" w:rsidRPr="0058195D" w:rsidRDefault="0058195D" w:rsidP="0058195D">
            <w:pPr>
              <w:widowControl/>
              <w:jc w:val="left"/>
              <w:rPr>
                <w:rFonts w:ascii="ＭＳ Ｐゴシック" w:eastAsia="ＭＳ Ｐゴシック" w:hAnsi="ＭＳ Ｐゴシック" w:cs="ＭＳ Ｐゴシック"/>
                <w:color w:val="FFFFFF"/>
                <w:kern w:val="0"/>
                <w:szCs w:val="21"/>
              </w:rPr>
            </w:pP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04DD0050"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[2]図形と計量</w:t>
            </w:r>
          </w:p>
        </w:tc>
        <w:tc>
          <w:tcPr>
            <w:tcW w:w="0" w:type="auto"/>
            <w:vMerge/>
            <w:tcBorders>
              <w:top w:val="single" w:sz="6" w:space="0" w:color="7E9BE2"/>
              <w:left w:val="single" w:sz="6" w:space="0" w:color="7E9BE2"/>
              <w:bottom w:val="single" w:sz="6" w:space="0" w:color="7E9BE2"/>
              <w:right w:val="single" w:sz="6" w:space="0" w:color="7E9BE2"/>
            </w:tcBorders>
            <w:shd w:val="clear" w:color="auto" w:fill="auto"/>
            <w:vAlign w:val="bottom"/>
            <w:hideMark/>
          </w:tcPr>
          <w:p w14:paraId="2D61B363"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82BAAE5"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測量、三角比の定義、三角比の表</w:t>
            </w:r>
          </w:p>
        </w:tc>
      </w:tr>
      <w:tr w:rsidR="0058195D" w:rsidRPr="0058195D" w14:paraId="3F34621A" w14:textId="77777777" w:rsidTr="0058195D">
        <w:tc>
          <w:tcPr>
            <w:tcW w:w="0" w:type="auto"/>
            <w:vMerge w:val="restart"/>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02136601" w14:textId="77777777" w:rsidR="0058195D" w:rsidRPr="0058195D" w:rsidRDefault="0058195D" w:rsidP="0058195D">
            <w:pPr>
              <w:widowControl/>
              <w:jc w:val="left"/>
              <w:rPr>
                <w:rFonts w:ascii="ＭＳ Ｐゴシック" w:eastAsia="ＭＳ Ｐゴシック" w:hAnsi="ＭＳ Ｐゴシック" w:cs="ＭＳ Ｐゴシック"/>
                <w:color w:val="FFFFFF"/>
                <w:kern w:val="0"/>
                <w:szCs w:val="21"/>
              </w:rPr>
            </w:pPr>
            <w:r w:rsidRPr="0058195D">
              <w:rPr>
                <w:rFonts w:ascii="ＭＳ Ｐゴシック" w:eastAsia="ＭＳ Ｐゴシック" w:hAnsi="ＭＳ Ｐゴシック" w:cs="ＭＳ Ｐゴシック"/>
                <w:color w:val="FFFFFF"/>
                <w:kern w:val="0"/>
                <w:szCs w:val="21"/>
              </w:rPr>
              <w:t>2</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3D3CED62"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[1]2次関数</w:t>
            </w:r>
          </w:p>
        </w:tc>
        <w:tc>
          <w:tcPr>
            <w:tcW w:w="0" w:type="auto"/>
            <w:vMerge w:val="restart"/>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56BAB35"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30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E940298"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点の移動、三角形の面積の最大・最小</w:t>
            </w:r>
          </w:p>
        </w:tc>
      </w:tr>
      <w:tr w:rsidR="0058195D" w:rsidRPr="0058195D" w14:paraId="2312AE78" w14:textId="77777777" w:rsidTr="0058195D">
        <w:tc>
          <w:tcPr>
            <w:tcW w:w="0" w:type="auto"/>
            <w:vMerge/>
            <w:tcBorders>
              <w:top w:val="single" w:sz="6" w:space="0" w:color="7E9BE2"/>
              <w:left w:val="single" w:sz="6" w:space="0" w:color="7E9BE2"/>
              <w:bottom w:val="single" w:sz="6" w:space="0" w:color="7E9BE2"/>
              <w:right w:val="single" w:sz="6" w:space="0" w:color="7E9BE2"/>
            </w:tcBorders>
            <w:shd w:val="clear" w:color="auto" w:fill="auto"/>
            <w:vAlign w:val="bottom"/>
            <w:hideMark/>
          </w:tcPr>
          <w:p w14:paraId="57A4540A" w14:textId="77777777" w:rsidR="0058195D" w:rsidRPr="0058195D" w:rsidRDefault="0058195D" w:rsidP="0058195D">
            <w:pPr>
              <w:widowControl/>
              <w:jc w:val="left"/>
              <w:rPr>
                <w:rFonts w:ascii="ＭＳ Ｐゴシック" w:eastAsia="ＭＳ Ｐゴシック" w:hAnsi="ＭＳ Ｐゴシック" w:cs="ＭＳ Ｐゴシック"/>
                <w:color w:val="FFFFFF"/>
                <w:kern w:val="0"/>
                <w:szCs w:val="21"/>
              </w:rPr>
            </w:pP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5638E03E"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[2]データの分析</w:t>
            </w:r>
          </w:p>
        </w:tc>
        <w:tc>
          <w:tcPr>
            <w:tcW w:w="0" w:type="auto"/>
            <w:vMerge/>
            <w:tcBorders>
              <w:top w:val="single" w:sz="6" w:space="0" w:color="7E9BE2"/>
              <w:left w:val="single" w:sz="6" w:space="0" w:color="7E9BE2"/>
              <w:bottom w:val="single" w:sz="6" w:space="0" w:color="7E9BE2"/>
              <w:right w:val="single" w:sz="6" w:space="0" w:color="7E9BE2"/>
            </w:tcBorders>
            <w:shd w:val="clear" w:color="auto" w:fill="auto"/>
            <w:vAlign w:val="bottom"/>
            <w:hideMark/>
          </w:tcPr>
          <w:p w14:paraId="5EFF97D8"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0E7113D6"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ヒストグラム、箱ひげ図、変量の変換、散布図</w:t>
            </w:r>
          </w:p>
        </w:tc>
      </w:tr>
      <w:tr w:rsidR="0058195D" w:rsidRPr="0058195D" w14:paraId="4E2A5C0B" w14:textId="77777777" w:rsidTr="0058195D">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1EBBEE23" w14:textId="77777777" w:rsidR="0058195D" w:rsidRPr="0058195D" w:rsidRDefault="0058195D" w:rsidP="0058195D">
            <w:pPr>
              <w:widowControl/>
              <w:jc w:val="left"/>
              <w:rPr>
                <w:rFonts w:ascii="ＭＳ Ｐゴシック" w:eastAsia="ＭＳ Ｐゴシック" w:hAnsi="ＭＳ Ｐゴシック" w:cs="ＭＳ Ｐゴシック"/>
                <w:color w:val="FFFFFF"/>
                <w:kern w:val="0"/>
                <w:szCs w:val="21"/>
              </w:rPr>
            </w:pPr>
            <w:r w:rsidRPr="0058195D">
              <w:rPr>
                <w:rFonts w:ascii="ＭＳ Ｐゴシック" w:eastAsia="ＭＳ Ｐゴシック" w:hAnsi="ＭＳ Ｐゴシック" w:cs="ＭＳ Ｐゴシック"/>
                <w:color w:val="FFFFFF"/>
                <w:kern w:val="0"/>
                <w:szCs w:val="21"/>
              </w:rPr>
              <w:t>3</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2AAB8590"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場合の数と確率</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12FBEC8"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20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FB6AD7C"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カードの取り出しに関する確率</w:t>
            </w:r>
          </w:p>
        </w:tc>
      </w:tr>
      <w:tr w:rsidR="0058195D" w:rsidRPr="0058195D" w14:paraId="5A0983FD" w14:textId="77777777" w:rsidTr="0058195D">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4A19DE59" w14:textId="77777777" w:rsidR="0058195D" w:rsidRPr="0058195D" w:rsidRDefault="0058195D" w:rsidP="0058195D">
            <w:pPr>
              <w:widowControl/>
              <w:jc w:val="left"/>
              <w:rPr>
                <w:rFonts w:ascii="ＭＳ Ｐゴシック" w:eastAsia="ＭＳ Ｐゴシック" w:hAnsi="ＭＳ Ｐゴシック" w:cs="ＭＳ Ｐゴシック"/>
                <w:color w:val="FFFFFF"/>
                <w:kern w:val="0"/>
                <w:szCs w:val="21"/>
              </w:rPr>
            </w:pPr>
            <w:r w:rsidRPr="0058195D">
              <w:rPr>
                <w:rFonts w:ascii="ＭＳ Ｐゴシック" w:eastAsia="ＭＳ Ｐゴシック" w:hAnsi="ＭＳ Ｐゴシック" w:cs="ＭＳ Ｐゴシック"/>
                <w:color w:val="FFFFFF"/>
                <w:kern w:val="0"/>
                <w:szCs w:val="21"/>
              </w:rPr>
              <w:lastRenderedPageBreak/>
              <w:t>4</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5D73D9B1"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整数の性質</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0734194"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20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20A7A249"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n進数、最小公倍数、1次不定方程式</w:t>
            </w:r>
          </w:p>
        </w:tc>
      </w:tr>
      <w:tr w:rsidR="0058195D" w:rsidRPr="0058195D" w14:paraId="32F3C698" w14:textId="77777777" w:rsidTr="0058195D">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3A1966F7" w14:textId="77777777" w:rsidR="0058195D" w:rsidRPr="0058195D" w:rsidRDefault="0058195D" w:rsidP="0058195D">
            <w:pPr>
              <w:widowControl/>
              <w:jc w:val="left"/>
              <w:rPr>
                <w:rFonts w:ascii="ＭＳ Ｐゴシック" w:eastAsia="ＭＳ Ｐゴシック" w:hAnsi="ＭＳ Ｐゴシック" w:cs="ＭＳ Ｐゴシック"/>
                <w:color w:val="FFFFFF"/>
                <w:kern w:val="0"/>
                <w:szCs w:val="21"/>
              </w:rPr>
            </w:pPr>
            <w:r w:rsidRPr="0058195D">
              <w:rPr>
                <w:rFonts w:ascii="ＭＳ Ｐゴシック" w:eastAsia="ＭＳ Ｐゴシック" w:hAnsi="ＭＳ Ｐゴシック" w:cs="ＭＳ Ｐゴシック"/>
                <w:color w:val="FFFFFF"/>
                <w:kern w:val="0"/>
                <w:szCs w:val="21"/>
              </w:rPr>
              <w:t>5</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7B8FD457"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図形の性質</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7D1F9CD"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20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2D691267"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メネラウスの定理、方べきの定理</w:t>
            </w:r>
          </w:p>
        </w:tc>
      </w:tr>
      <w:tr w:rsidR="0058195D" w:rsidRPr="0058195D" w14:paraId="2C75284C" w14:textId="77777777" w:rsidTr="0058195D">
        <w:tc>
          <w:tcPr>
            <w:tcW w:w="0" w:type="auto"/>
            <w:gridSpan w:val="2"/>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4D169281" w14:textId="77777777" w:rsidR="0058195D" w:rsidRPr="0058195D" w:rsidRDefault="0058195D" w:rsidP="0058195D">
            <w:pPr>
              <w:widowControl/>
              <w:jc w:val="left"/>
              <w:rPr>
                <w:rFonts w:ascii="ＭＳ Ｐゴシック" w:eastAsia="ＭＳ Ｐゴシック" w:hAnsi="ＭＳ Ｐゴシック" w:cs="ＭＳ Ｐゴシック"/>
                <w:color w:val="FFFFFF"/>
                <w:kern w:val="0"/>
                <w:szCs w:val="21"/>
              </w:rPr>
            </w:pPr>
            <w:r w:rsidRPr="0058195D">
              <w:rPr>
                <w:rFonts w:ascii="ＭＳ Ｐゴシック" w:eastAsia="ＭＳ Ｐゴシック" w:hAnsi="ＭＳ Ｐゴシック" w:cs="ＭＳ Ｐゴシック"/>
                <w:color w:val="FFFFFF"/>
                <w:kern w:val="0"/>
                <w:szCs w:val="21"/>
              </w:rPr>
              <w:t>合計</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75FF3E2B"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100</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5C00F99F"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p>
        </w:tc>
      </w:tr>
    </w:tbl>
    <w:p w14:paraId="2597B5CA" w14:textId="77777777" w:rsidR="0058195D" w:rsidRPr="0058195D" w:rsidRDefault="0058195D" w:rsidP="0058195D">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58195D">
        <w:rPr>
          <w:rFonts w:ascii="ＭＳ Ｐゴシック" w:eastAsia="ＭＳ Ｐゴシック" w:hAnsi="ＭＳ Ｐゴシック" w:cs="ＭＳ Ｐゴシック"/>
          <w:b/>
          <w:bCs/>
          <w:kern w:val="0"/>
          <w:sz w:val="27"/>
          <w:szCs w:val="27"/>
        </w:rPr>
        <w:t>設問別分析</w:t>
      </w:r>
    </w:p>
    <w:p w14:paraId="4825D97A" w14:textId="77777777" w:rsidR="0058195D" w:rsidRPr="0058195D" w:rsidRDefault="0058195D" w:rsidP="0058195D">
      <w:pPr>
        <w:widowControl/>
        <w:jc w:val="left"/>
        <w:textAlignment w:val="baseline"/>
        <w:rPr>
          <w:rFonts w:ascii="ＭＳ Ｐゴシック" w:eastAsia="ＭＳ Ｐゴシック" w:hAnsi="ＭＳ Ｐゴシック" w:cs="ＭＳ Ｐゴシック"/>
          <w:b/>
          <w:bCs/>
          <w:kern w:val="0"/>
          <w:szCs w:val="21"/>
        </w:rPr>
      </w:pPr>
      <w:r w:rsidRPr="0058195D">
        <w:rPr>
          <w:rFonts w:ascii="ＭＳ Ｐゴシック" w:eastAsia="ＭＳ Ｐゴシック" w:hAnsi="ＭＳ Ｐゴシック" w:cs="ＭＳ Ｐゴシック"/>
          <w:b/>
          <w:bCs/>
          <w:kern w:val="0"/>
          <w:szCs w:val="21"/>
        </w:rPr>
        <w:t>第1問</w:t>
      </w:r>
    </w:p>
    <w:p w14:paraId="6F150804" w14:textId="77777777" w:rsidR="0058195D" w:rsidRPr="0058195D" w:rsidRDefault="0058195D" w:rsidP="0058195D">
      <w:pPr>
        <w:widowControl/>
        <w:spacing w:before="120"/>
        <w:ind w:left="720"/>
        <w:jc w:val="left"/>
        <w:textAlignment w:val="baseline"/>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[1]無理数の整数部分・小数部分に関する問題であった。小数第２位の数字まで問われていることは目新しい。誘導を読み取り指定された作業をしていけば答えが求められるため、誘導を正しく読み取り方針を捉えられたかで差がついたであろう。&lt;数学Iの第1問［1］と共通問題&gt;</w:t>
      </w:r>
      <w:r w:rsidRPr="0058195D">
        <w:rPr>
          <w:rFonts w:ascii="ＭＳ Ｐゴシック" w:eastAsia="ＭＳ Ｐゴシック" w:hAnsi="ＭＳ Ｐゴシック" w:cs="ＭＳ Ｐゴシック"/>
          <w:kern w:val="0"/>
          <w:szCs w:val="21"/>
        </w:rPr>
        <w:br/>
        <w:t>[2]電柱の高さ、影の長さを測量する問題であった。直角三角形に対して三角比の定義や三角比の表を適切に利用できるかを問う設問が多く、正弦定理や余弦定理を利用する設問は出題されなかった。最後の設問は誘導がなくなり、それまでの考え方を応用することができるかを問われていた。&lt;数学Iの第2問［2］と共通問題&gt;</w:t>
      </w:r>
    </w:p>
    <w:p w14:paraId="14E17479" w14:textId="77777777" w:rsidR="0058195D" w:rsidRPr="0058195D" w:rsidRDefault="0058195D" w:rsidP="0058195D">
      <w:pPr>
        <w:widowControl/>
        <w:spacing w:before="240"/>
        <w:jc w:val="left"/>
        <w:textAlignment w:val="baseline"/>
        <w:rPr>
          <w:rFonts w:ascii="ＭＳ Ｐゴシック" w:eastAsia="ＭＳ Ｐゴシック" w:hAnsi="ＭＳ Ｐゴシック" w:cs="ＭＳ Ｐゴシック"/>
          <w:b/>
          <w:bCs/>
          <w:kern w:val="0"/>
          <w:szCs w:val="21"/>
        </w:rPr>
      </w:pPr>
      <w:r w:rsidRPr="0058195D">
        <w:rPr>
          <w:rFonts w:ascii="ＭＳ Ｐゴシック" w:eastAsia="ＭＳ Ｐゴシック" w:hAnsi="ＭＳ Ｐゴシック" w:cs="ＭＳ Ｐゴシック"/>
          <w:b/>
          <w:bCs/>
          <w:kern w:val="0"/>
          <w:szCs w:val="21"/>
        </w:rPr>
        <w:t>第2問</w:t>
      </w:r>
    </w:p>
    <w:p w14:paraId="283DF28B" w14:textId="77777777" w:rsidR="0058195D" w:rsidRPr="0058195D" w:rsidRDefault="0058195D" w:rsidP="0058195D">
      <w:pPr>
        <w:widowControl/>
        <w:spacing w:before="120"/>
        <w:ind w:left="720"/>
        <w:jc w:val="left"/>
        <w:textAlignment w:val="baseline"/>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[1]2次関数と図形の融合問題であり、座標平面上を動く点に伴って変化する三角形の面積を考察する問題であった。２点P、Qの座標が与えられていないため、点の動き方と時刻に合わせて座標を正しく表せるかがポイントである。&lt;数学Iの第3問［2］と共通問題&gt;</w:t>
      </w:r>
      <w:r w:rsidRPr="0058195D">
        <w:rPr>
          <w:rFonts w:ascii="ＭＳ Ｐゴシック" w:eastAsia="ＭＳ Ｐゴシック" w:hAnsi="ＭＳ Ｐゴシック" w:cs="ＭＳ Ｐゴシック"/>
          <w:kern w:val="0"/>
          <w:szCs w:val="21"/>
        </w:rPr>
        <w:br/>
        <w:t>[2]長距離競技の公認記録に関する問題であった。ヒストグラム、箱ひげ図、散布図の読み取りが中心で、情報量は多いが、この分野の基本的な知識が身についていれば取り組みやすかったと思われる。&lt;数学Iの第4問と一部共通問題&gt;</w:t>
      </w:r>
    </w:p>
    <w:p w14:paraId="6B8E74E4" w14:textId="77777777" w:rsidR="0058195D" w:rsidRPr="0058195D" w:rsidRDefault="0058195D" w:rsidP="0058195D">
      <w:pPr>
        <w:widowControl/>
        <w:spacing w:before="240"/>
        <w:jc w:val="left"/>
        <w:textAlignment w:val="baseline"/>
        <w:rPr>
          <w:rFonts w:ascii="ＭＳ Ｐゴシック" w:eastAsia="ＭＳ Ｐゴシック" w:hAnsi="ＭＳ Ｐゴシック" w:cs="ＭＳ Ｐゴシック"/>
          <w:b/>
          <w:bCs/>
          <w:kern w:val="0"/>
          <w:szCs w:val="21"/>
        </w:rPr>
      </w:pPr>
      <w:r w:rsidRPr="0058195D">
        <w:rPr>
          <w:rFonts w:ascii="ＭＳ Ｐゴシック" w:eastAsia="ＭＳ Ｐゴシック" w:hAnsi="ＭＳ Ｐゴシック" w:cs="ＭＳ Ｐゴシック"/>
          <w:b/>
          <w:bCs/>
          <w:kern w:val="0"/>
          <w:szCs w:val="21"/>
        </w:rPr>
        <w:t>第3問</w:t>
      </w:r>
    </w:p>
    <w:p w14:paraId="53274A16" w14:textId="77777777" w:rsidR="0058195D" w:rsidRPr="0058195D" w:rsidRDefault="0058195D" w:rsidP="0058195D">
      <w:pPr>
        <w:widowControl/>
        <w:spacing w:before="120"/>
        <w:ind w:left="720"/>
        <w:jc w:val="left"/>
        <w:textAlignment w:val="baseline"/>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箱の中のカードの取り出しに関する確率の問題であった。(1)はA、Bが書かれた2枚のカード、(2)はA、B、Cが書かれた3枚のカード、(3)はA、B、C、Dが書かれた4枚のカードの取り出しに関する設問であった。(1)、(2)は文章量が多いが、そのほとんどは問題の解き方を説明しているものであり、丁寧な誘導で解きやすかった。一方で(3)では誘導が少なくなり 、(1)、(2)の考え方を応用することができるかを問われていた。</w:t>
      </w:r>
    </w:p>
    <w:p w14:paraId="25520031" w14:textId="77777777" w:rsidR="0058195D" w:rsidRPr="0058195D" w:rsidRDefault="0058195D" w:rsidP="0058195D">
      <w:pPr>
        <w:widowControl/>
        <w:spacing w:before="240"/>
        <w:jc w:val="left"/>
        <w:textAlignment w:val="baseline"/>
        <w:rPr>
          <w:rFonts w:ascii="ＭＳ Ｐゴシック" w:eastAsia="ＭＳ Ｐゴシック" w:hAnsi="ＭＳ Ｐゴシック" w:cs="ＭＳ Ｐゴシック"/>
          <w:b/>
          <w:bCs/>
          <w:kern w:val="0"/>
          <w:szCs w:val="21"/>
        </w:rPr>
      </w:pPr>
      <w:r w:rsidRPr="0058195D">
        <w:rPr>
          <w:rFonts w:ascii="ＭＳ Ｐゴシック" w:eastAsia="ＭＳ Ｐゴシック" w:hAnsi="ＭＳ Ｐゴシック" w:cs="ＭＳ Ｐゴシック"/>
          <w:b/>
          <w:bCs/>
          <w:kern w:val="0"/>
          <w:szCs w:val="21"/>
        </w:rPr>
        <w:t>第4問</w:t>
      </w:r>
    </w:p>
    <w:p w14:paraId="55DE153E" w14:textId="77777777" w:rsidR="0058195D" w:rsidRPr="0058195D" w:rsidRDefault="0058195D" w:rsidP="0058195D">
      <w:pPr>
        <w:widowControl/>
        <w:spacing w:before="120"/>
        <w:ind w:left="720"/>
        <w:jc w:val="left"/>
        <w:textAlignment w:val="baseline"/>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3進数、4進数、6進数を表示するタイマーに関する問題で、見かけない設定で戸惑った受験生も多かったと思われる。問題文には「最小公倍数」や「1次不定方程式」の用語は現れないが、(2)で最小公倍数、(3)で1次不定方程式を考える必要がある。これらのことに気づいて方針を立てられたかがポイントである。また、(3)の最後ではそれまでの考え方を応用できるかが問われており、やや難しい。</w:t>
      </w:r>
    </w:p>
    <w:p w14:paraId="43E1C344" w14:textId="77777777" w:rsidR="0058195D" w:rsidRPr="0058195D" w:rsidRDefault="0058195D" w:rsidP="0058195D">
      <w:pPr>
        <w:widowControl/>
        <w:spacing w:before="240"/>
        <w:jc w:val="left"/>
        <w:textAlignment w:val="baseline"/>
        <w:rPr>
          <w:rFonts w:ascii="ＭＳ Ｐゴシック" w:eastAsia="ＭＳ Ｐゴシック" w:hAnsi="ＭＳ Ｐゴシック" w:cs="ＭＳ Ｐゴシック"/>
          <w:b/>
          <w:bCs/>
          <w:kern w:val="0"/>
          <w:szCs w:val="21"/>
        </w:rPr>
      </w:pPr>
      <w:r w:rsidRPr="0058195D">
        <w:rPr>
          <w:rFonts w:ascii="ＭＳ Ｐゴシック" w:eastAsia="ＭＳ Ｐゴシック" w:hAnsi="ＭＳ Ｐゴシック" w:cs="ＭＳ Ｐゴシック"/>
          <w:b/>
          <w:bCs/>
          <w:kern w:val="0"/>
          <w:szCs w:val="21"/>
        </w:rPr>
        <w:t>第5問</w:t>
      </w:r>
    </w:p>
    <w:p w14:paraId="470CD614" w14:textId="77777777" w:rsidR="0058195D" w:rsidRPr="0058195D" w:rsidRDefault="0058195D" w:rsidP="0058195D">
      <w:pPr>
        <w:widowControl/>
        <w:spacing w:before="120"/>
        <w:ind w:left="720"/>
        <w:jc w:val="left"/>
        <w:textAlignment w:val="baseline"/>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星形の図形に関する問題で、(1)ではメネラウスの定理を用いて線分の長さの比を求める問題、(2)では方べきの定理を用いて三角形の外接円と点の位置関係を考察する問題が出題された。あまり見かけない図形が与えら</w:t>
      </w:r>
      <w:r w:rsidRPr="0058195D">
        <w:rPr>
          <w:rFonts w:ascii="ＭＳ Ｐゴシック" w:eastAsia="ＭＳ Ｐゴシック" w:hAnsi="ＭＳ Ｐゴシック" w:cs="ＭＳ Ｐゴシック"/>
          <w:kern w:val="0"/>
          <w:szCs w:val="21"/>
        </w:rPr>
        <w:lastRenderedPageBreak/>
        <w:t>れたため、初見で戸惑った受験生が多かったと思われるが、(1)、(2)ともに誘導が丁寧であり、方針が捉えられれば解きやすかった。</w:t>
      </w:r>
    </w:p>
    <w:p w14:paraId="527D96F4" w14:textId="77777777" w:rsidR="0058195D" w:rsidRPr="0058195D" w:rsidRDefault="0058195D" w:rsidP="0058195D">
      <w:pPr>
        <w:widowControl/>
        <w:pBdr>
          <w:bottom w:val="single" w:sz="6" w:space="6" w:color="547BDB"/>
        </w:pBdr>
        <w:spacing w:before="600" w:after="300"/>
        <w:jc w:val="left"/>
        <w:textAlignment w:val="baseline"/>
        <w:outlineLvl w:val="1"/>
        <w:rPr>
          <w:rFonts w:ascii="ＭＳ Ｐゴシック" w:eastAsia="ＭＳ Ｐゴシック" w:hAnsi="ＭＳ Ｐゴシック" w:cs="ＭＳ Ｐゴシック"/>
          <w:b/>
          <w:bCs/>
          <w:color w:val="547BDB"/>
          <w:kern w:val="0"/>
          <w:sz w:val="36"/>
          <w:szCs w:val="36"/>
        </w:rPr>
      </w:pPr>
      <w:r w:rsidRPr="0058195D">
        <w:rPr>
          <w:rFonts w:ascii="ＭＳ Ｐゴシック" w:eastAsia="ＭＳ Ｐゴシック" w:hAnsi="ＭＳ Ｐゴシック" w:cs="ＭＳ Ｐゴシック"/>
          <w:b/>
          <w:bCs/>
          <w:color w:val="547BDB"/>
          <w:kern w:val="0"/>
          <w:sz w:val="36"/>
          <w:szCs w:val="36"/>
        </w:rPr>
        <w:t>平均点の推移</w:t>
      </w:r>
    </w:p>
    <w:tbl>
      <w:tblPr>
        <w:tblW w:w="11640" w:type="dxa"/>
        <w:shd w:val="clear" w:color="auto" w:fill="FFFFFF"/>
        <w:tblCellMar>
          <w:left w:w="0" w:type="dxa"/>
          <w:right w:w="0" w:type="dxa"/>
        </w:tblCellMar>
        <w:tblLook w:val="04A0" w:firstRow="1" w:lastRow="0" w:firstColumn="1" w:lastColumn="0" w:noHBand="0" w:noVBand="1"/>
      </w:tblPr>
      <w:tblGrid>
        <w:gridCol w:w="1565"/>
        <w:gridCol w:w="2015"/>
        <w:gridCol w:w="2015"/>
        <w:gridCol w:w="2015"/>
        <w:gridCol w:w="2015"/>
        <w:gridCol w:w="2015"/>
      </w:tblGrid>
      <w:tr w:rsidR="0058195D" w:rsidRPr="0058195D" w14:paraId="2A3F8DDA" w14:textId="77777777" w:rsidTr="0058195D">
        <w:trPr>
          <w:tblHeader/>
        </w:trPr>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3714F8BD" w14:textId="77777777" w:rsidR="0058195D" w:rsidRPr="0058195D" w:rsidRDefault="0058195D" w:rsidP="0058195D">
            <w:pPr>
              <w:widowControl/>
              <w:jc w:val="center"/>
              <w:rPr>
                <w:rFonts w:ascii="ＭＳ Ｐゴシック" w:eastAsia="ＭＳ Ｐゴシック" w:hAnsi="ＭＳ Ｐゴシック" w:cs="ＭＳ Ｐゴシック"/>
                <w:b/>
                <w:bCs/>
                <w:color w:val="FFFFFF"/>
                <w:kern w:val="0"/>
                <w:szCs w:val="21"/>
              </w:rPr>
            </w:pPr>
            <w:r w:rsidRPr="0058195D">
              <w:rPr>
                <w:rFonts w:ascii="ＭＳ Ｐゴシック" w:eastAsia="ＭＳ Ｐゴシック" w:hAnsi="ＭＳ Ｐゴシック" w:cs="ＭＳ Ｐゴシック"/>
                <w:b/>
                <w:bCs/>
                <w:color w:val="FFFFFF"/>
                <w:kern w:val="0"/>
                <w:szCs w:val="21"/>
              </w:rPr>
              <w:t>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3A974C4B" w14:textId="77777777" w:rsidR="0058195D" w:rsidRPr="0058195D" w:rsidRDefault="0058195D" w:rsidP="0058195D">
            <w:pPr>
              <w:widowControl/>
              <w:jc w:val="center"/>
              <w:rPr>
                <w:rFonts w:ascii="ＭＳ Ｐゴシック" w:eastAsia="ＭＳ Ｐゴシック" w:hAnsi="ＭＳ Ｐゴシック" w:cs="ＭＳ Ｐゴシック"/>
                <w:b/>
                <w:bCs/>
                <w:color w:val="FFFFFF"/>
                <w:kern w:val="0"/>
                <w:szCs w:val="21"/>
              </w:rPr>
            </w:pPr>
            <w:r w:rsidRPr="0058195D">
              <w:rPr>
                <w:rFonts w:ascii="ＭＳ Ｐゴシック" w:eastAsia="ＭＳ Ｐゴシック" w:hAnsi="ＭＳ Ｐゴシック" w:cs="ＭＳ Ｐゴシック"/>
                <w:b/>
                <w:bCs/>
                <w:color w:val="FFFFFF"/>
                <w:kern w:val="0"/>
                <w:szCs w:val="21"/>
              </w:rPr>
              <w:t>2024年度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5956A6B9" w14:textId="77777777" w:rsidR="0058195D" w:rsidRPr="0058195D" w:rsidRDefault="0058195D" w:rsidP="0058195D">
            <w:pPr>
              <w:widowControl/>
              <w:jc w:val="center"/>
              <w:rPr>
                <w:rFonts w:ascii="ＭＳ Ｐゴシック" w:eastAsia="ＭＳ Ｐゴシック" w:hAnsi="ＭＳ Ｐゴシック" w:cs="ＭＳ Ｐゴシック"/>
                <w:b/>
                <w:bCs/>
                <w:color w:val="FFFFFF"/>
                <w:kern w:val="0"/>
                <w:szCs w:val="21"/>
              </w:rPr>
            </w:pPr>
            <w:r w:rsidRPr="0058195D">
              <w:rPr>
                <w:rFonts w:ascii="ＭＳ Ｐゴシック" w:eastAsia="ＭＳ Ｐゴシック" w:hAnsi="ＭＳ Ｐゴシック" w:cs="ＭＳ Ｐゴシック"/>
                <w:b/>
                <w:bCs/>
                <w:color w:val="FFFFFF"/>
                <w:kern w:val="0"/>
                <w:szCs w:val="21"/>
              </w:rPr>
              <w:t>2023年度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6C46DA00" w14:textId="77777777" w:rsidR="0058195D" w:rsidRPr="0058195D" w:rsidRDefault="0058195D" w:rsidP="0058195D">
            <w:pPr>
              <w:widowControl/>
              <w:jc w:val="center"/>
              <w:rPr>
                <w:rFonts w:ascii="ＭＳ Ｐゴシック" w:eastAsia="ＭＳ Ｐゴシック" w:hAnsi="ＭＳ Ｐゴシック" w:cs="ＭＳ Ｐゴシック"/>
                <w:b/>
                <w:bCs/>
                <w:color w:val="FFFFFF"/>
                <w:kern w:val="0"/>
                <w:szCs w:val="21"/>
              </w:rPr>
            </w:pPr>
            <w:r w:rsidRPr="0058195D">
              <w:rPr>
                <w:rFonts w:ascii="ＭＳ Ｐゴシック" w:eastAsia="ＭＳ Ｐゴシック" w:hAnsi="ＭＳ Ｐゴシック" w:cs="ＭＳ Ｐゴシック"/>
                <w:b/>
                <w:bCs/>
                <w:color w:val="FFFFFF"/>
                <w:kern w:val="0"/>
                <w:szCs w:val="21"/>
              </w:rPr>
              <w:t>2022年度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526272F" w14:textId="77777777" w:rsidR="0058195D" w:rsidRPr="0058195D" w:rsidRDefault="0058195D" w:rsidP="0058195D">
            <w:pPr>
              <w:widowControl/>
              <w:jc w:val="center"/>
              <w:rPr>
                <w:rFonts w:ascii="ＭＳ Ｐゴシック" w:eastAsia="ＭＳ Ｐゴシック" w:hAnsi="ＭＳ Ｐゴシック" w:cs="ＭＳ Ｐゴシック"/>
                <w:b/>
                <w:bCs/>
                <w:color w:val="FFFFFF"/>
                <w:kern w:val="0"/>
                <w:szCs w:val="21"/>
              </w:rPr>
            </w:pPr>
            <w:r w:rsidRPr="0058195D">
              <w:rPr>
                <w:rFonts w:ascii="ＭＳ Ｐゴシック" w:eastAsia="ＭＳ Ｐゴシック" w:hAnsi="ＭＳ Ｐゴシック" w:cs="ＭＳ Ｐゴシック"/>
                <w:b/>
                <w:bCs/>
                <w:color w:val="FFFFFF"/>
                <w:kern w:val="0"/>
                <w:szCs w:val="21"/>
              </w:rPr>
              <w:t>2021年度</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3BA3993" w14:textId="77777777" w:rsidR="0058195D" w:rsidRPr="0058195D" w:rsidRDefault="0058195D" w:rsidP="0058195D">
            <w:pPr>
              <w:widowControl/>
              <w:jc w:val="center"/>
              <w:rPr>
                <w:rFonts w:ascii="ＭＳ Ｐゴシック" w:eastAsia="ＭＳ Ｐゴシック" w:hAnsi="ＭＳ Ｐゴシック" w:cs="ＭＳ Ｐゴシック"/>
                <w:b/>
                <w:bCs/>
                <w:color w:val="FFFFFF"/>
                <w:kern w:val="0"/>
                <w:szCs w:val="21"/>
              </w:rPr>
            </w:pPr>
            <w:r w:rsidRPr="0058195D">
              <w:rPr>
                <w:rFonts w:ascii="ＭＳ Ｐゴシック" w:eastAsia="ＭＳ Ｐゴシック" w:hAnsi="ＭＳ Ｐゴシック" w:cs="ＭＳ Ｐゴシック"/>
                <w:b/>
                <w:bCs/>
                <w:color w:val="FFFFFF"/>
                <w:kern w:val="0"/>
                <w:szCs w:val="21"/>
              </w:rPr>
              <w:t>2020年度</w:t>
            </w:r>
          </w:p>
        </w:tc>
      </w:tr>
      <w:tr w:rsidR="0058195D" w:rsidRPr="0058195D" w14:paraId="6519F789" w14:textId="77777777" w:rsidTr="0058195D">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6331A8AE" w14:textId="77777777" w:rsidR="0058195D" w:rsidRPr="0058195D" w:rsidRDefault="0058195D" w:rsidP="0058195D">
            <w:pPr>
              <w:widowControl/>
              <w:jc w:val="left"/>
              <w:rPr>
                <w:rFonts w:ascii="ＭＳ Ｐゴシック" w:eastAsia="ＭＳ Ｐゴシック" w:hAnsi="ＭＳ Ｐゴシック" w:cs="ＭＳ Ｐゴシック"/>
                <w:color w:val="FFFFFF"/>
                <w:kern w:val="0"/>
                <w:szCs w:val="21"/>
              </w:rPr>
            </w:pPr>
            <w:r w:rsidRPr="0058195D">
              <w:rPr>
                <w:rFonts w:ascii="ＭＳ Ｐゴシック" w:eastAsia="ＭＳ Ｐゴシック" w:hAnsi="ＭＳ Ｐゴシック" w:cs="ＭＳ Ｐゴシック"/>
                <w:color w:val="FFFFFF"/>
                <w:kern w:val="0"/>
                <w:szCs w:val="21"/>
              </w:rPr>
              <w:t>平均点</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0320F5CE"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51.38</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2282841A"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55.65</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0412AFFE"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37.96</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BF665E2"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57.68</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6AF7B4D" w14:textId="77777777" w:rsidR="0058195D" w:rsidRPr="0058195D" w:rsidRDefault="0058195D" w:rsidP="0058195D">
            <w:pPr>
              <w:widowControl/>
              <w:jc w:val="left"/>
              <w:rPr>
                <w:rFonts w:ascii="ＭＳ Ｐゴシック" w:eastAsia="ＭＳ Ｐゴシック" w:hAnsi="ＭＳ Ｐゴシック" w:cs="ＭＳ Ｐゴシック"/>
                <w:kern w:val="0"/>
                <w:szCs w:val="21"/>
              </w:rPr>
            </w:pPr>
            <w:r w:rsidRPr="0058195D">
              <w:rPr>
                <w:rFonts w:ascii="ＭＳ Ｐゴシック" w:eastAsia="ＭＳ Ｐゴシック" w:hAnsi="ＭＳ Ｐゴシック" w:cs="ＭＳ Ｐゴシック"/>
                <w:kern w:val="0"/>
                <w:szCs w:val="21"/>
              </w:rPr>
              <w:t>51.88</w:t>
            </w:r>
          </w:p>
        </w:tc>
      </w:tr>
    </w:tbl>
    <w:p w14:paraId="322BA4D0" w14:textId="77777777" w:rsidR="00F22ED0" w:rsidRDefault="00F22ED0"/>
    <w:sectPr w:rsidR="00F22ED0" w:rsidSect="00362E9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5D"/>
    <w:rsid w:val="00362E9D"/>
    <w:rsid w:val="0058195D"/>
    <w:rsid w:val="00F2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87BC7"/>
  <w15:chartTrackingRefBased/>
  <w15:docId w15:val="{CE485A72-8E6E-45FC-8E1F-62423AA4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8195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58195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8195D"/>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58195D"/>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4246520">
      <w:bodyDiv w:val="1"/>
      <w:marLeft w:val="0"/>
      <w:marRight w:val="0"/>
      <w:marTop w:val="0"/>
      <w:marBottom w:val="0"/>
      <w:divBdr>
        <w:top w:val="none" w:sz="0" w:space="0" w:color="auto"/>
        <w:left w:val="none" w:sz="0" w:space="0" w:color="auto"/>
        <w:bottom w:val="none" w:sz="0" w:space="0" w:color="auto"/>
        <w:right w:val="none" w:sz="0" w:space="0" w:color="auto"/>
      </w:divBdr>
      <w:divsChild>
        <w:div w:id="1125544191">
          <w:marLeft w:val="0"/>
          <w:marRight w:val="0"/>
          <w:marTop w:val="360"/>
          <w:marBottom w:val="0"/>
          <w:divBdr>
            <w:top w:val="none" w:sz="0" w:space="0" w:color="auto"/>
            <w:left w:val="none" w:sz="0" w:space="0" w:color="auto"/>
            <w:bottom w:val="none" w:sz="0" w:space="0" w:color="auto"/>
            <w:right w:val="none" w:sz="0" w:space="0" w:color="auto"/>
          </w:divBdr>
          <w:divsChild>
            <w:div w:id="1288896667">
              <w:marLeft w:val="0"/>
              <w:marRight w:val="0"/>
              <w:marTop w:val="0"/>
              <w:marBottom w:val="0"/>
              <w:divBdr>
                <w:top w:val="none" w:sz="0" w:space="0" w:color="auto"/>
                <w:left w:val="none" w:sz="0" w:space="0" w:color="auto"/>
                <w:bottom w:val="none" w:sz="0" w:space="0" w:color="auto"/>
                <w:right w:val="none" w:sz="0" w:space="0" w:color="auto"/>
              </w:divBdr>
            </w:div>
          </w:divsChild>
        </w:div>
        <w:div w:id="447552625">
          <w:marLeft w:val="0"/>
          <w:marRight w:val="0"/>
          <w:marTop w:val="360"/>
          <w:marBottom w:val="0"/>
          <w:divBdr>
            <w:top w:val="single" w:sz="6" w:space="11" w:color="547BDB"/>
            <w:left w:val="single" w:sz="6" w:space="11" w:color="547BDB"/>
            <w:bottom w:val="single" w:sz="6" w:space="11" w:color="547BDB"/>
            <w:right w:val="single" w:sz="6" w:space="11" w:color="547BDB"/>
          </w:divBdr>
        </w:div>
        <w:div w:id="2128504432">
          <w:marLeft w:val="0"/>
          <w:marRight w:val="0"/>
          <w:marTop w:val="360"/>
          <w:marBottom w:val="0"/>
          <w:divBdr>
            <w:top w:val="none" w:sz="0" w:space="0" w:color="auto"/>
            <w:left w:val="none" w:sz="0" w:space="0" w:color="auto"/>
            <w:bottom w:val="none" w:sz="0" w:space="0" w:color="auto"/>
            <w:right w:val="none" w:sz="0" w:space="0" w:color="auto"/>
          </w:divBdr>
          <w:divsChild>
            <w:div w:id="6700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淳一 庄司</dc:creator>
  <cp:keywords/>
  <dc:description/>
  <cp:lastModifiedBy>淳一 庄司</cp:lastModifiedBy>
  <cp:revision>1</cp:revision>
  <dcterms:created xsi:type="dcterms:W3CDTF">2024-03-17T01:02:00Z</dcterms:created>
  <dcterms:modified xsi:type="dcterms:W3CDTF">2024-03-17T01:05:00Z</dcterms:modified>
</cp:coreProperties>
</file>