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DB031" w14:textId="70D5655B" w:rsidR="009607B6" w:rsidRPr="009607B6" w:rsidRDefault="009607B6" w:rsidP="009607B6">
      <w:pPr>
        <w:widowControl/>
        <w:pBdr>
          <w:left w:val="single" w:sz="36" w:space="11" w:color="547BDB"/>
        </w:pBdr>
        <w:spacing w:before="600" w:after="300"/>
        <w:ind w:left="840"/>
        <w:jc w:val="left"/>
        <w:textAlignment w:val="baseline"/>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数</w:t>
      </w:r>
      <w:r w:rsidRPr="009607B6">
        <w:rPr>
          <w:rFonts w:ascii="ＭＳ Ｐゴシック" w:eastAsia="ＭＳ Ｐゴシック" w:hAnsi="ＭＳ Ｐゴシック" w:cs="ＭＳ Ｐゴシック"/>
          <w:b/>
          <w:bCs/>
          <w:kern w:val="0"/>
          <w:sz w:val="27"/>
          <w:szCs w:val="27"/>
        </w:rPr>
        <w:t>学Ⅱ・数学Ｂ学習アドバイス</w:t>
      </w:r>
    </w:p>
    <w:p w14:paraId="735D38B7" w14:textId="77777777" w:rsidR="009607B6" w:rsidRPr="009607B6" w:rsidRDefault="009607B6" w:rsidP="009607B6">
      <w:pPr>
        <w:widowControl/>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１．数学の学力をつける</w:t>
      </w:r>
    </w:p>
    <w:p w14:paraId="5A55BA6B"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まずは、数学の知識をつけることが必須です。とくに現役生には、「見たことのある問題には解答できるが、少しでも見た目が変わると何をしていいかわからなくなる」という傾向があります。共通テストの『数学Ⅱ・数学B』においては、二次・私大入試でよく問われるような、より高度な数学の定理を導くような問題が多いので、共通テストだけの対策をしていても不十分です。授業などで広く深い知識を得ることができるようにしましょう。</w:t>
      </w:r>
    </w:p>
    <w:p w14:paraId="25DD711E" w14:textId="77777777" w:rsidR="009607B6" w:rsidRPr="009607B6" w:rsidRDefault="009607B6" w:rsidP="009607B6">
      <w:pPr>
        <w:widowControl/>
        <w:spacing w:before="240"/>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２．読解力をつける</w:t>
      </w:r>
    </w:p>
    <w:p w14:paraId="3B4941FF"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共通テストの『数学Ⅱ・数学B』では、センター試験と比べて、解答時間は変わらないにも関わらず、読むべき文の量が増えています。このような問題の対策としては、出題者がどんな意図で出題しているかを見抜く必要があります。読解力をつけるために、参考書や問題集の解答を読むところから始めるとよいでしょう。 友達の解答を読む学習や、実際に答案を作る学習も効果的です。</w:t>
      </w:r>
      <w:r w:rsidRPr="009607B6">
        <w:rPr>
          <w:rFonts w:ascii="ＭＳ Ｐゴシック" w:eastAsia="ＭＳ Ｐゴシック" w:hAnsi="ＭＳ Ｐゴシック" w:cs="ＭＳ Ｐゴシック"/>
          <w:kern w:val="0"/>
          <w:szCs w:val="21"/>
        </w:rPr>
        <w:br/>
        <w:t>例えば2023年度の本試験の『数学Ⅱ・数学B』の積分の問題は、途中1ページ分の内容がすべて状況の説明であり、これを1行1行「精読」していたのでは解答する時間が足りなくなってしまいます。上に挙げた読解力をつける演習をすることにより、ざっと読み流すべき段落と、じっくりと読まなければならない段落の区別がつくようになります。それが、新傾向の問題に対応する一番の早道です。</w:t>
      </w:r>
    </w:p>
    <w:p w14:paraId="0475B306" w14:textId="77777777" w:rsidR="009607B6" w:rsidRPr="009607B6" w:rsidRDefault="009607B6" w:rsidP="009607B6">
      <w:pPr>
        <w:widowControl/>
        <w:spacing w:before="240"/>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３．計算力をつける</w:t>
      </w:r>
    </w:p>
    <w:p w14:paraId="3261A96C"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センター試験に比べて計算量が減ったとはいっても、少し煩雑な計算をしなければならないところもあります。まず、計算力をつけるためには見やすい文字を書きましょう。薄くて小さい文字を書く生徒もいますが、自分でも後から読めないようでは計算ミスを誘発してしまいます。濃くて、ある程度大きい文字を書くように心掛けましょう。 あとは計算練習あるのみです。計算練習は途中何度も見直しながら、単純なミスがないように解き進めていきましょう。</w:t>
      </w:r>
    </w:p>
    <w:p w14:paraId="67AD6F92" w14:textId="77777777" w:rsidR="009607B6" w:rsidRPr="009607B6" w:rsidRDefault="009607B6" w:rsidP="009607B6">
      <w:pPr>
        <w:widowControl/>
        <w:spacing w:before="240"/>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４．共通テスト対策問題に取り組む</w:t>
      </w:r>
    </w:p>
    <w:p w14:paraId="039E1DFE"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このような練習を土台にして、共通テストの対策問題集などに取り組みましょう。日常生活の問題や、全過程を問う問題、会話問題などについては一通りの演習が必要です。ただ、このような問題は『数学Ⅱ・数学B』ではそれほど重視されないと思われますので、標準的なレベルの問題集を1冊仕上げる程度でよいでしょう。</w:t>
      </w:r>
    </w:p>
    <w:p w14:paraId="63F1469A" w14:textId="77777777" w:rsidR="009607B6" w:rsidRPr="009607B6" w:rsidRDefault="009607B6" w:rsidP="009607B6">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9607B6">
        <w:rPr>
          <w:rFonts w:ascii="ＭＳ Ｐゴシック" w:eastAsia="ＭＳ Ｐゴシック" w:hAnsi="ＭＳ Ｐゴシック" w:cs="ＭＳ Ｐゴシック"/>
          <w:b/>
          <w:bCs/>
          <w:color w:val="547BDB"/>
          <w:kern w:val="0"/>
          <w:sz w:val="36"/>
          <w:szCs w:val="36"/>
        </w:rPr>
        <w:t>2024年度共通テスト　問題構成と設問別分析</w:t>
      </w:r>
    </w:p>
    <w:p w14:paraId="3A2E7E07" w14:textId="77777777" w:rsidR="009607B6" w:rsidRPr="009607B6" w:rsidRDefault="009607B6" w:rsidP="009607B6">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9607B6">
        <w:rPr>
          <w:rFonts w:ascii="ＭＳ Ｐゴシック" w:eastAsia="ＭＳ Ｐゴシック" w:hAnsi="ＭＳ Ｐゴシック" w:cs="ＭＳ Ｐゴシック"/>
          <w:b/>
          <w:bCs/>
          <w:kern w:val="0"/>
          <w:sz w:val="27"/>
          <w:szCs w:val="27"/>
        </w:rPr>
        <w:t>問題構成</w:t>
      </w:r>
    </w:p>
    <w:tbl>
      <w:tblPr>
        <w:tblW w:w="11640" w:type="dxa"/>
        <w:shd w:val="clear" w:color="auto" w:fill="FFFFFF"/>
        <w:tblCellMar>
          <w:left w:w="0" w:type="dxa"/>
          <w:right w:w="0" w:type="dxa"/>
        </w:tblCellMar>
        <w:tblLook w:val="04A0" w:firstRow="1" w:lastRow="0" w:firstColumn="1" w:lastColumn="0" w:noHBand="0" w:noVBand="1"/>
      </w:tblPr>
      <w:tblGrid>
        <w:gridCol w:w="917"/>
        <w:gridCol w:w="3227"/>
        <w:gridCol w:w="917"/>
        <w:gridCol w:w="6579"/>
      </w:tblGrid>
      <w:tr w:rsidR="009607B6" w:rsidRPr="009607B6" w14:paraId="6FDA05D4" w14:textId="77777777" w:rsidTr="009607B6">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4A5A497"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大問</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1A80ABA"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分野</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6B03B31"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配点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1DB946D"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テーマ</w:t>
            </w:r>
          </w:p>
        </w:tc>
      </w:tr>
      <w:tr w:rsidR="009607B6" w:rsidRPr="009607B6" w14:paraId="5702C950" w14:textId="77777777" w:rsidTr="009607B6">
        <w:tc>
          <w:tcPr>
            <w:tcW w:w="0" w:type="auto"/>
            <w:vMerge w:val="restart"/>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A1E91A6" w14:textId="77777777" w:rsidR="009607B6" w:rsidRPr="009607B6" w:rsidRDefault="009607B6" w:rsidP="009607B6">
            <w:pPr>
              <w:widowControl/>
              <w:jc w:val="left"/>
              <w:rPr>
                <w:rFonts w:ascii="ＭＳ Ｐゴシック" w:eastAsia="ＭＳ Ｐゴシック" w:hAnsi="ＭＳ Ｐゴシック" w:cs="ＭＳ Ｐゴシック"/>
                <w:color w:val="FFFFFF"/>
                <w:kern w:val="0"/>
                <w:szCs w:val="21"/>
              </w:rPr>
            </w:pPr>
            <w:r w:rsidRPr="009607B6">
              <w:rPr>
                <w:rFonts w:ascii="ＭＳ Ｐゴシック" w:eastAsia="ＭＳ Ｐゴシック" w:hAnsi="ＭＳ Ｐゴシック" w:cs="ＭＳ Ｐゴシック"/>
                <w:color w:val="FFFFFF"/>
                <w:kern w:val="0"/>
                <w:szCs w:val="21"/>
              </w:rPr>
              <w:t>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1C65C0E"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[1]指数関数・対数関数</w:t>
            </w:r>
          </w:p>
        </w:tc>
        <w:tc>
          <w:tcPr>
            <w:tcW w:w="0" w:type="auto"/>
            <w:vMerge w:val="restart"/>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1C65B41"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30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1A7A21B"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対数関数のグラフ、方程式、不等式、領域</w:t>
            </w:r>
          </w:p>
        </w:tc>
      </w:tr>
      <w:tr w:rsidR="009607B6" w:rsidRPr="009607B6" w14:paraId="5403E07C" w14:textId="77777777" w:rsidTr="009607B6">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20F1E44C" w14:textId="77777777" w:rsidR="009607B6" w:rsidRPr="009607B6" w:rsidRDefault="009607B6" w:rsidP="009607B6">
            <w:pPr>
              <w:widowControl/>
              <w:jc w:val="left"/>
              <w:rPr>
                <w:rFonts w:ascii="ＭＳ Ｐゴシック" w:eastAsia="ＭＳ Ｐゴシック" w:hAnsi="ＭＳ Ｐゴシック" w:cs="ＭＳ Ｐゴシック"/>
                <w:color w:val="FFFFFF"/>
                <w:kern w:val="0"/>
                <w:szCs w:val="21"/>
              </w:rPr>
            </w:pP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ACFF01A"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[2]いろいろな式</w:t>
            </w:r>
          </w:p>
        </w:tc>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163B1401"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37B15E5"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整式の除法</w:t>
            </w:r>
          </w:p>
        </w:tc>
      </w:tr>
      <w:tr w:rsidR="009607B6" w:rsidRPr="009607B6" w14:paraId="593311DF" w14:textId="77777777" w:rsidTr="009607B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3C7DD46" w14:textId="77777777" w:rsidR="009607B6" w:rsidRPr="009607B6" w:rsidRDefault="009607B6" w:rsidP="009607B6">
            <w:pPr>
              <w:widowControl/>
              <w:jc w:val="left"/>
              <w:rPr>
                <w:rFonts w:ascii="ＭＳ Ｐゴシック" w:eastAsia="ＭＳ Ｐゴシック" w:hAnsi="ＭＳ Ｐゴシック" w:cs="ＭＳ Ｐゴシック"/>
                <w:color w:val="FFFFFF"/>
                <w:kern w:val="0"/>
                <w:szCs w:val="21"/>
              </w:rPr>
            </w:pPr>
            <w:r w:rsidRPr="009607B6">
              <w:rPr>
                <w:rFonts w:ascii="ＭＳ Ｐゴシック" w:eastAsia="ＭＳ Ｐゴシック" w:hAnsi="ＭＳ Ｐゴシック" w:cs="ＭＳ Ｐゴシック"/>
                <w:color w:val="FFFFFF"/>
                <w:kern w:val="0"/>
                <w:szCs w:val="21"/>
              </w:rPr>
              <w:t>2</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580934F"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微分法・積分法</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09FFF1E"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30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50AC4F8"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積分、極値、面積、微分と積分の関係</w:t>
            </w:r>
          </w:p>
        </w:tc>
      </w:tr>
      <w:tr w:rsidR="009607B6" w:rsidRPr="009607B6" w14:paraId="4F2A77FC" w14:textId="77777777" w:rsidTr="009607B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7416AB3" w14:textId="77777777" w:rsidR="009607B6" w:rsidRPr="009607B6" w:rsidRDefault="009607B6" w:rsidP="009607B6">
            <w:pPr>
              <w:widowControl/>
              <w:jc w:val="left"/>
              <w:rPr>
                <w:rFonts w:ascii="ＭＳ Ｐゴシック" w:eastAsia="ＭＳ Ｐゴシック" w:hAnsi="ＭＳ Ｐゴシック" w:cs="ＭＳ Ｐゴシック"/>
                <w:color w:val="FFFFFF"/>
                <w:kern w:val="0"/>
                <w:szCs w:val="21"/>
              </w:rPr>
            </w:pPr>
            <w:r w:rsidRPr="009607B6">
              <w:rPr>
                <w:rFonts w:ascii="ＭＳ Ｐゴシック" w:eastAsia="ＭＳ Ｐゴシック" w:hAnsi="ＭＳ Ｐゴシック" w:cs="ＭＳ Ｐゴシック"/>
                <w:color w:val="FFFFFF"/>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43A7062E"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確率分布と統計的な推測</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9A4F28B"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7F9A48C"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母比率の区間推定、確率変数の期待値（平均）</w:t>
            </w:r>
          </w:p>
        </w:tc>
      </w:tr>
      <w:tr w:rsidR="009607B6" w:rsidRPr="009607B6" w14:paraId="1AA9A7A3" w14:textId="77777777" w:rsidTr="009607B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B49D251" w14:textId="77777777" w:rsidR="009607B6" w:rsidRPr="009607B6" w:rsidRDefault="009607B6" w:rsidP="009607B6">
            <w:pPr>
              <w:widowControl/>
              <w:jc w:val="left"/>
              <w:rPr>
                <w:rFonts w:ascii="ＭＳ Ｐゴシック" w:eastAsia="ＭＳ Ｐゴシック" w:hAnsi="ＭＳ Ｐゴシック" w:cs="ＭＳ Ｐゴシック"/>
                <w:color w:val="FFFFFF"/>
                <w:kern w:val="0"/>
                <w:szCs w:val="21"/>
              </w:rPr>
            </w:pPr>
            <w:r w:rsidRPr="009607B6">
              <w:rPr>
                <w:rFonts w:ascii="ＭＳ Ｐゴシック" w:eastAsia="ＭＳ Ｐゴシック" w:hAnsi="ＭＳ Ｐゴシック" w:cs="ＭＳ Ｐゴシック"/>
                <w:color w:val="FFFFFF"/>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4A164A1D"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数列</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4260876"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21F6D1C"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等差数列、漸化式、数学的帰納法</w:t>
            </w:r>
          </w:p>
        </w:tc>
      </w:tr>
      <w:tr w:rsidR="009607B6" w:rsidRPr="009607B6" w14:paraId="729D12A8" w14:textId="77777777" w:rsidTr="009607B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990D13B" w14:textId="77777777" w:rsidR="009607B6" w:rsidRPr="009607B6" w:rsidRDefault="009607B6" w:rsidP="009607B6">
            <w:pPr>
              <w:widowControl/>
              <w:jc w:val="left"/>
              <w:rPr>
                <w:rFonts w:ascii="ＭＳ Ｐゴシック" w:eastAsia="ＭＳ Ｐゴシック" w:hAnsi="ＭＳ Ｐゴシック" w:cs="ＭＳ Ｐゴシック"/>
                <w:color w:val="FFFFFF"/>
                <w:kern w:val="0"/>
                <w:szCs w:val="21"/>
              </w:rPr>
            </w:pPr>
            <w:r w:rsidRPr="009607B6">
              <w:rPr>
                <w:rFonts w:ascii="ＭＳ Ｐゴシック" w:eastAsia="ＭＳ Ｐゴシック" w:hAnsi="ＭＳ Ｐゴシック" w:cs="ＭＳ Ｐゴシック"/>
                <w:color w:val="FFFFFF"/>
                <w:kern w:val="0"/>
                <w:szCs w:val="21"/>
              </w:rPr>
              <w:t>5</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43B7CD67"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空間ベクトル</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D4FC3C1"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815AD0F"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空間ベクトルの成分、内積、ねじれの位置にある2直線</w:t>
            </w:r>
          </w:p>
        </w:tc>
      </w:tr>
      <w:tr w:rsidR="009607B6" w:rsidRPr="009607B6" w14:paraId="57300CC3" w14:textId="77777777" w:rsidTr="009607B6">
        <w:tc>
          <w:tcPr>
            <w:tcW w:w="0" w:type="auto"/>
            <w:gridSpan w:val="2"/>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EE19AC4" w14:textId="77777777" w:rsidR="009607B6" w:rsidRPr="009607B6" w:rsidRDefault="009607B6" w:rsidP="009607B6">
            <w:pPr>
              <w:widowControl/>
              <w:jc w:val="left"/>
              <w:rPr>
                <w:rFonts w:ascii="ＭＳ Ｐゴシック" w:eastAsia="ＭＳ Ｐゴシック" w:hAnsi="ＭＳ Ｐゴシック" w:cs="ＭＳ Ｐゴシック"/>
                <w:color w:val="FFFFFF"/>
                <w:kern w:val="0"/>
                <w:szCs w:val="21"/>
              </w:rPr>
            </w:pPr>
            <w:r w:rsidRPr="009607B6">
              <w:rPr>
                <w:rFonts w:ascii="ＭＳ Ｐゴシック" w:eastAsia="ＭＳ Ｐゴシック" w:hAnsi="ＭＳ Ｐゴシック" w:cs="ＭＳ Ｐゴシック"/>
                <w:color w:val="FFFFFF"/>
                <w:kern w:val="0"/>
                <w:szCs w:val="21"/>
              </w:rPr>
              <w:t>合計</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FFAFBAF"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100</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A966867"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p>
        </w:tc>
      </w:tr>
    </w:tbl>
    <w:p w14:paraId="69666A68" w14:textId="77777777" w:rsidR="009607B6" w:rsidRPr="009607B6" w:rsidRDefault="009607B6" w:rsidP="009607B6">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9607B6">
        <w:rPr>
          <w:rFonts w:ascii="ＭＳ Ｐゴシック" w:eastAsia="ＭＳ Ｐゴシック" w:hAnsi="ＭＳ Ｐゴシック" w:cs="ＭＳ Ｐゴシック"/>
          <w:b/>
          <w:bCs/>
          <w:kern w:val="0"/>
          <w:sz w:val="27"/>
          <w:szCs w:val="27"/>
        </w:rPr>
        <w:t>設問別分析</w:t>
      </w:r>
    </w:p>
    <w:p w14:paraId="190D0242" w14:textId="77777777" w:rsidR="009607B6" w:rsidRPr="009607B6" w:rsidRDefault="009607B6" w:rsidP="009607B6">
      <w:pPr>
        <w:widowControl/>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第1問</w:t>
      </w:r>
    </w:p>
    <w:p w14:paraId="231C55BA"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[1](1)は対数関数のグラフ、(2)は対数を含む方程式の表すグラフや不等式の表す領域を選択させる問題。対数についての計算はあまりなかった。</w:t>
      </w:r>
      <w:r w:rsidRPr="009607B6">
        <w:rPr>
          <w:rFonts w:ascii="ＭＳ Ｐゴシック" w:eastAsia="ＭＳ Ｐゴシック" w:hAnsi="ＭＳ Ｐゴシック" w:cs="ＭＳ Ｐゴシック"/>
          <w:kern w:val="0"/>
          <w:szCs w:val="21"/>
        </w:rPr>
        <w:br/>
        <w:t>[2]整式の除法において、余りが定数となる条件を調べる問題。整式が何種類も出てきて混乱しやすい上に、「チ」の選択肢は論理的な文章を正確に読み取る力が要求された。計算量は少なかった。</w:t>
      </w:r>
      <w:r w:rsidRPr="009607B6">
        <w:rPr>
          <w:rFonts w:ascii="ＭＳ Ｐゴシック" w:eastAsia="ＭＳ Ｐゴシック" w:hAnsi="ＭＳ Ｐゴシック" w:cs="ＭＳ Ｐゴシック"/>
          <w:kern w:val="0"/>
          <w:szCs w:val="21"/>
        </w:rPr>
        <w:br/>
        <w:t>&lt;数学IIの第1問と共通問題&gt;</w:t>
      </w:r>
    </w:p>
    <w:p w14:paraId="11117972" w14:textId="77777777" w:rsidR="009607B6" w:rsidRPr="009607B6" w:rsidRDefault="009607B6" w:rsidP="009607B6">
      <w:pPr>
        <w:widowControl/>
        <w:spacing w:before="240"/>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第2問</w:t>
      </w:r>
    </w:p>
    <w:p w14:paraId="666CB8B8"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文字定数mを含む2次関数f(x)と、f(t)の0からxまでの積分S(x)に関する問題。</w:t>
      </w:r>
      <w:r w:rsidRPr="009607B6">
        <w:rPr>
          <w:rFonts w:ascii="ＭＳ Ｐゴシック" w:eastAsia="ＭＳ Ｐゴシック" w:hAnsi="ＭＳ Ｐゴシック" w:cs="ＭＳ Ｐゴシック"/>
          <w:kern w:val="0"/>
          <w:szCs w:val="21"/>
        </w:rPr>
        <w:br/>
        <w:t>(1)m=2のときについて、S(x)の極値、f(3)の表す図形的意味などの問題。S'(x)=f(x)であることを利用すれば計算量を減らせる。</w:t>
      </w:r>
      <w:r w:rsidRPr="009607B6">
        <w:rPr>
          <w:rFonts w:ascii="ＭＳ Ｐゴシック" w:eastAsia="ＭＳ Ｐゴシック" w:hAnsi="ＭＳ Ｐゴシック" w:cs="ＭＳ Ｐゴシック"/>
          <w:kern w:val="0"/>
          <w:szCs w:val="21"/>
        </w:rPr>
        <w:br/>
        <w:t>(2)放物線とx軸、y軸などで囲まれた2つの図形の面積の大小関係に関する問題。面積に関する条件が成立するときのy=S(x)のグラフを選択する問題。前半の誘導はやや丁寧であるが、後半はS(m)が極小値であることに気づけるかがポイント。</w:t>
      </w:r>
      <w:r w:rsidRPr="009607B6">
        <w:rPr>
          <w:rFonts w:ascii="ＭＳ Ｐゴシック" w:eastAsia="ＭＳ Ｐゴシック" w:hAnsi="ＭＳ Ｐゴシック" w:cs="ＭＳ Ｐゴシック"/>
          <w:kern w:val="0"/>
          <w:szCs w:val="21"/>
        </w:rPr>
        <w:br/>
        <w:t>(3)y=f(x)のグラフの特徴から、y=S(x)のグラフの特徴を考える問題。誘導はやや丁寧であるが、文字を多く含み抽象的な式を変形できるかがポイント。</w:t>
      </w:r>
      <w:r w:rsidRPr="009607B6">
        <w:rPr>
          <w:rFonts w:ascii="ＭＳ Ｐゴシック" w:eastAsia="ＭＳ Ｐゴシック" w:hAnsi="ＭＳ Ｐゴシック" w:cs="ＭＳ Ｐゴシック"/>
          <w:kern w:val="0"/>
          <w:szCs w:val="21"/>
        </w:rPr>
        <w:br/>
        <w:t>&lt;数学IIの第2問と共通問題&gt;</w:t>
      </w:r>
    </w:p>
    <w:p w14:paraId="73F74E6C" w14:textId="77777777" w:rsidR="009607B6" w:rsidRPr="009607B6" w:rsidRDefault="009607B6" w:rsidP="009607B6">
      <w:pPr>
        <w:widowControl/>
        <w:spacing w:before="240"/>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第3問</w:t>
      </w:r>
    </w:p>
    <w:p w14:paraId="71886E6E"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(1)は、「母比率の信頼区間」を誘導に従って求める問題。公式だけを覚えていた受験生は苦労した可能性がある。</w:t>
      </w:r>
      <w:r w:rsidRPr="009607B6">
        <w:rPr>
          <w:rFonts w:ascii="ＭＳ Ｐゴシック" w:eastAsia="ＭＳ Ｐゴシック" w:hAnsi="ＭＳ Ｐゴシック" w:cs="ＭＳ Ｐゴシック"/>
          <w:kern w:val="0"/>
          <w:szCs w:val="21"/>
        </w:rPr>
        <w:br/>
        <w:t>(2)は確率変数の期待値の計算。やや計算は煩雑であるが、誘導通りに解き進めればよい。ただし、設問の意図が読み取りにくいので、苦労した受験生は多いだろう。</w:t>
      </w:r>
    </w:p>
    <w:p w14:paraId="1A017311" w14:textId="77777777" w:rsidR="009607B6" w:rsidRPr="009607B6" w:rsidRDefault="009607B6" w:rsidP="009607B6">
      <w:pPr>
        <w:widowControl/>
        <w:spacing w:before="240"/>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第4問</w:t>
      </w:r>
    </w:p>
    <w:p w14:paraId="44A80574"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lastRenderedPageBreak/>
        <w:t>(1)は等差数列の一般項を求める問題、(2)は教科書の例題にあるような漸化式を解いて一般項を求める問題。(3)は与えられた漸化式を満たす数列についての性質を数学的帰納法を用いて示したり、漸化式を満たす数列の存在について考えたりする問題であった。最後は真偽の組合せを選択する問題であった。</w:t>
      </w:r>
    </w:p>
    <w:p w14:paraId="7CE60868" w14:textId="77777777" w:rsidR="009607B6" w:rsidRPr="009607B6" w:rsidRDefault="009607B6" w:rsidP="009607B6">
      <w:pPr>
        <w:widowControl/>
        <w:spacing w:before="240"/>
        <w:jc w:val="left"/>
        <w:textAlignment w:val="baseline"/>
        <w:rPr>
          <w:rFonts w:ascii="ＭＳ Ｐゴシック" w:eastAsia="ＭＳ Ｐゴシック" w:hAnsi="ＭＳ Ｐゴシック" w:cs="ＭＳ Ｐゴシック"/>
          <w:b/>
          <w:bCs/>
          <w:kern w:val="0"/>
          <w:szCs w:val="21"/>
        </w:rPr>
      </w:pPr>
      <w:r w:rsidRPr="009607B6">
        <w:rPr>
          <w:rFonts w:ascii="ＭＳ Ｐゴシック" w:eastAsia="ＭＳ Ｐゴシック" w:hAnsi="ＭＳ Ｐゴシック" w:cs="ＭＳ Ｐゴシック"/>
          <w:b/>
          <w:bCs/>
          <w:kern w:val="0"/>
          <w:szCs w:val="21"/>
        </w:rPr>
        <w:t>第5問</w:t>
      </w:r>
    </w:p>
    <w:p w14:paraId="1FDD72BF" w14:textId="77777777" w:rsidR="009607B6" w:rsidRPr="009607B6" w:rsidRDefault="009607B6" w:rsidP="009607B6">
      <w:pPr>
        <w:widowControl/>
        <w:spacing w:before="120"/>
        <w:ind w:left="720"/>
        <w:jc w:val="left"/>
        <w:textAlignment w:val="baseline"/>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空間ベクトルの成分についての問題。(2)は原点と直線上を動く点の距離の最小についての問題であり、会話文で2通りの解き方の方針が与えられている。(3)のねじれの位置にある2直線上を動く2点間の距離の最小についての問題でも、(2)と同様の方針で解くことができる。</w:t>
      </w:r>
    </w:p>
    <w:p w14:paraId="0D87D1B2" w14:textId="77777777" w:rsidR="009607B6" w:rsidRPr="009607B6" w:rsidRDefault="009607B6" w:rsidP="009607B6">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9607B6">
        <w:rPr>
          <w:rFonts w:ascii="ＭＳ Ｐゴシック" w:eastAsia="ＭＳ Ｐゴシック" w:hAnsi="ＭＳ Ｐゴシック" w:cs="ＭＳ Ｐゴシック"/>
          <w:b/>
          <w:bCs/>
          <w:color w:val="547BDB"/>
          <w:kern w:val="0"/>
          <w:sz w:val="36"/>
          <w:szCs w:val="36"/>
        </w:rPr>
        <w:t>平均点の推移</w:t>
      </w:r>
    </w:p>
    <w:tbl>
      <w:tblPr>
        <w:tblW w:w="11640" w:type="dxa"/>
        <w:shd w:val="clear" w:color="auto" w:fill="FFFFFF"/>
        <w:tblCellMar>
          <w:left w:w="0" w:type="dxa"/>
          <w:right w:w="0" w:type="dxa"/>
        </w:tblCellMar>
        <w:tblLook w:val="04A0" w:firstRow="1" w:lastRow="0" w:firstColumn="1" w:lastColumn="0" w:noHBand="0" w:noVBand="1"/>
      </w:tblPr>
      <w:tblGrid>
        <w:gridCol w:w="1565"/>
        <w:gridCol w:w="2015"/>
        <w:gridCol w:w="2015"/>
        <w:gridCol w:w="2015"/>
        <w:gridCol w:w="2015"/>
        <w:gridCol w:w="2015"/>
      </w:tblGrid>
      <w:tr w:rsidR="009607B6" w:rsidRPr="009607B6" w14:paraId="2FE0A729" w14:textId="77777777" w:rsidTr="009607B6">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E845801"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630FD00"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2024年度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066AC49"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2023年度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DEC4AB4"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2022年度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CFAC198"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2021年度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AE1B4C5" w14:textId="77777777" w:rsidR="009607B6" w:rsidRPr="009607B6" w:rsidRDefault="009607B6" w:rsidP="009607B6">
            <w:pPr>
              <w:widowControl/>
              <w:jc w:val="center"/>
              <w:rPr>
                <w:rFonts w:ascii="ＭＳ Ｐゴシック" w:eastAsia="ＭＳ Ｐゴシック" w:hAnsi="ＭＳ Ｐゴシック" w:cs="ＭＳ Ｐゴシック"/>
                <w:b/>
                <w:bCs/>
                <w:color w:val="FFFFFF"/>
                <w:kern w:val="0"/>
                <w:szCs w:val="21"/>
              </w:rPr>
            </w:pPr>
            <w:r w:rsidRPr="009607B6">
              <w:rPr>
                <w:rFonts w:ascii="ＭＳ Ｐゴシック" w:eastAsia="ＭＳ Ｐゴシック" w:hAnsi="ＭＳ Ｐゴシック" w:cs="ＭＳ Ｐゴシック"/>
                <w:b/>
                <w:bCs/>
                <w:color w:val="FFFFFF"/>
                <w:kern w:val="0"/>
                <w:szCs w:val="21"/>
              </w:rPr>
              <w:t>2020年度</w:t>
            </w:r>
          </w:p>
        </w:tc>
      </w:tr>
      <w:tr w:rsidR="009607B6" w:rsidRPr="009607B6" w14:paraId="522478B5" w14:textId="77777777" w:rsidTr="009607B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8798F35" w14:textId="77777777" w:rsidR="009607B6" w:rsidRPr="009607B6" w:rsidRDefault="009607B6" w:rsidP="009607B6">
            <w:pPr>
              <w:widowControl/>
              <w:jc w:val="left"/>
              <w:rPr>
                <w:rFonts w:ascii="ＭＳ Ｐゴシック" w:eastAsia="ＭＳ Ｐゴシック" w:hAnsi="ＭＳ Ｐゴシック" w:cs="ＭＳ Ｐゴシック"/>
                <w:color w:val="FFFFFF"/>
                <w:kern w:val="0"/>
                <w:szCs w:val="21"/>
              </w:rPr>
            </w:pPr>
            <w:r w:rsidRPr="009607B6">
              <w:rPr>
                <w:rFonts w:ascii="ＭＳ Ｐゴシック" w:eastAsia="ＭＳ Ｐゴシック" w:hAnsi="ＭＳ Ｐゴシック" w:cs="ＭＳ Ｐゴシック"/>
                <w:color w:val="FFFFFF"/>
                <w:kern w:val="0"/>
                <w:szCs w:val="21"/>
              </w:rPr>
              <w:t>平均点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A77D0C0"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57.74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1903030"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61.48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395847E"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43.06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A08B4B5"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59.93</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B0962EA" w14:textId="77777777" w:rsidR="009607B6" w:rsidRPr="009607B6" w:rsidRDefault="009607B6" w:rsidP="009607B6">
            <w:pPr>
              <w:widowControl/>
              <w:jc w:val="left"/>
              <w:rPr>
                <w:rFonts w:ascii="ＭＳ Ｐゴシック" w:eastAsia="ＭＳ Ｐゴシック" w:hAnsi="ＭＳ Ｐゴシック" w:cs="ＭＳ Ｐゴシック"/>
                <w:kern w:val="0"/>
                <w:szCs w:val="21"/>
              </w:rPr>
            </w:pPr>
            <w:r w:rsidRPr="009607B6">
              <w:rPr>
                <w:rFonts w:ascii="ＭＳ Ｐゴシック" w:eastAsia="ＭＳ Ｐゴシック" w:hAnsi="ＭＳ Ｐゴシック" w:cs="ＭＳ Ｐゴシック"/>
                <w:kern w:val="0"/>
                <w:szCs w:val="21"/>
              </w:rPr>
              <w:t>49.03</w:t>
            </w:r>
          </w:p>
        </w:tc>
      </w:tr>
    </w:tbl>
    <w:p w14:paraId="5F8CBE8A" w14:textId="77777777" w:rsidR="00F22ED0" w:rsidRDefault="00F22ED0"/>
    <w:sectPr w:rsidR="00F22ED0" w:rsidSect="00036D7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B6"/>
    <w:rsid w:val="00036D70"/>
    <w:rsid w:val="009607B6"/>
    <w:rsid w:val="00F2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22847"/>
  <w15:chartTrackingRefBased/>
  <w15:docId w15:val="{1BD8F475-6612-42F1-A27A-20E85085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607B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9607B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607B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9607B6"/>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0971">
      <w:bodyDiv w:val="1"/>
      <w:marLeft w:val="0"/>
      <w:marRight w:val="0"/>
      <w:marTop w:val="0"/>
      <w:marBottom w:val="0"/>
      <w:divBdr>
        <w:top w:val="none" w:sz="0" w:space="0" w:color="auto"/>
        <w:left w:val="none" w:sz="0" w:space="0" w:color="auto"/>
        <w:bottom w:val="none" w:sz="0" w:space="0" w:color="auto"/>
        <w:right w:val="none" w:sz="0" w:space="0" w:color="auto"/>
      </w:divBdr>
      <w:divsChild>
        <w:div w:id="678121034">
          <w:marLeft w:val="0"/>
          <w:marRight w:val="0"/>
          <w:marTop w:val="360"/>
          <w:marBottom w:val="0"/>
          <w:divBdr>
            <w:top w:val="none" w:sz="0" w:space="0" w:color="auto"/>
            <w:left w:val="none" w:sz="0" w:space="0" w:color="auto"/>
            <w:bottom w:val="none" w:sz="0" w:space="0" w:color="auto"/>
            <w:right w:val="none" w:sz="0" w:space="0" w:color="auto"/>
          </w:divBdr>
          <w:divsChild>
            <w:div w:id="1740982642">
              <w:marLeft w:val="0"/>
              <w:marRight w:val="0"/>
              <w:marTop w:val="0"/>
              <w:marBottom w:val="0"/>
              <w:divBdr>
                <w:top w:val="none" w:sz="0" w:space="0" w:color="auto"/>
                <w:left w:val="none" w:sz="0" w:space="0" w:color="auto"/>
                <w:bottom w:val="none" w:sz="0" w:space="0" w:color="auto"/>
                <w:right w:val="none" w:sz="0" w:space="0" w:color="auto"/>
              </w:divBdr>
            </w:div>
          </w:divsChild>
        </w:div>
        <w:div w:id="304312595">
          <w:marLeft w:val="0"/>
          <w:marRight w:val="0"/>
          <w:marTop w:val="360"/>
          <w:marBottom w:val="0"/>
          <w:divBdr>
            <w:top w:val="single" w:sz="6" w:space="11" w:color="547BDB"/>
            <w:left w:val="single" w:sz="6" w:space="11" w:color="547BDB"/>
            <w:bottom w:val="single" w:sz="6" w:space="11" w:color="547BDB"/>
            <w:right w:val="single" w:sz="6" w:space="11" w:color="547BDB"/>
          </w:divBdr>
        </w:div>
        <w:div w:id="407116882">
          <w:marLeft w:val="0"/>
          <w:marRight w:val="0"/>
          <w:marTop w:val="360"/>
          <w:marBottom w:val="0"/>
          <w:divBdr>
            <w:top w:val="none" w:sz="0" w:space="0" w:color="auto"/>
            <w:left w:val="none" w:sz="0" w:space="0" w:color="auto"/>
            <w:bottom w:val="none" w:sz="0" w:space="0" w:color="auto"/>
            <w:right w:val="none" w:sz="0" w:space="0" w:color="auto"/>
          </w:divBdr>
          <w:divsChild>
            <w:div w:id="19543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2024-03-20T00:58:00Z</dcterms:created>
  <dcterms:modified xsi:type="dcterms:W3CDTF">2024-03-20T01:00:00Z</dcterms:modified>
</cp:coreProperties>
</file>